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62" w:rsidRDefault="00A04962" w:rsidP="00A049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4962" w:rsidRPr="00CE7E87" w:rsidRDefault="00A04962" w:rsidP="00A049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E441AB">
        <w:rPr>
          <w:rFonts w:ascii="Times New Roman" w:hAnsi="Times New Roman"/>
          <w:sz w:val="28"/>
          <w:szCs w:val="28"/>
        </w:rPr>
        <w:t xml:space="preserve"> </w:t>
      </w:r>
      <w:r w:rsidRPr="00CE7E87">
        <w:rPr>
          <w:rFonts w:ascii="Times New Roman" w:hAnsi="Times New Roman"/>
          <w:b/>
          <w:sz w:val="28"/>
          <w:szCs w:val="28"/>
        </w:rPr>
        <w:t>Додаток 3</w:t>
      </w:r>
    </w:p>
    <w:p w:rsidR="00A04962" w:rsidRPr="00CE7E87" w:rsidRDefault="00A04962" w:rsidP="00A049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CE7E87">
        <w:rPr>
          <w:rFonts w:ascii="Times New Roman" w:hAnsi="Times New Roman"/>
          <w:b/>
          <w:sz w:val="28"/>
          <w:szCs w:val="28"/>
        </w:rPr>
        <w:t xml:space="preserve">до рішення  міської ради </w:t>
      </w:r>
    </w:p>
    <w:p w:rsidR="00A04962" w:rsidRPr="00CE7E87" w:rsidRDefault="00A04962" w:rsidP="00A049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Pr="00CE7E87">
        <w:rPr>
          <w:rFonts w:ascii="Times New Roman" w:hAnsi="Times New Roman"/>
          <w:b/>
          <w:sz w:val="28"/>
          <w:szCs w:val="28"/>
        </w:rPr>
        <w:t>від</w:t>
      </w:r>
      <w:r w:rsidR="00B5757F">
        <w:rPr>
          <w:rFonts w:ascii="Times New Roman" w:hAnsi="Times New Roman"/>
          <w:b/>
          <w:sz w:val="28"/>
          <w:szCs w:val="28"/>
        </w:rPr>
        <w:t xml:space="preserve">  26 червня  2019 року №150</w:t>
      </w:r>
      <w:r w:rsidRPr="00CE7E87">
        <w:rPr>
          <w:rFonts w:ascii="Times New Roman" w:hAnsi="Times New Roman"/>
          <w:b/>
          <w:sz w:val="28"/>
          <w:szCs w:val="28"/>
        </w:rPr>
        <w:t>7</w:t>
      </w:r>
    </w:p>
    <w:p w:rsidR="00A04962" w:rsidRPr="00E441AB" w:rsidRDefault="00A04962" w:rsidP="00A04962">
      <w:pPr>
        <w:spacing w:after="0"/>
        <w:ind w:left="5400"/>
        <w:jc w:val="both"/>
        <w:rPr>
          <w:rFonts w:ascii="Times New Roman" w:hAnsi="Times New Roman"/>
          <w:sz w:val="28"/>
          <w:szCs w:val="28"/>
        </w:rPr>
      </w:pPr>
    </w:p>
    <w:p w:rsidR="00A04962" w:rsidRPr="00E441AB" w:rsidRDefault="00A04962" w:rsidP="00A049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D30" w:rsidRDefault="00F75D30" w:rsidP="00260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ЕЛЕМЕНТИ</w:t>
      </w:r>
    </w:p>
    <w:p w:rsidR="00F75D30" w:rsidRDefault="00F75D30" w:rsidP="00260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визначення єдиного податку</w:t>
      </w:r>
    </w:p>
    <w:p w:rsidR="00F75D30" w:rsidRDefault="00F75D30" w:rsidP="00260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Загальні положення.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Єдиний податок на території м. Чорткова встановлено  відповідно до Закону України «Про місцеве самоврядування в Україні», Податкового кодексу України (із змінами та доповненнями) та рішення міської ради про встановлення ставок місцевих податків і зборів на 2019 рік на території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м.Чорткова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переходу суб’єктів підприємницької діяльності на застосування спрощеної системи  оподаткування регулюється  Податковим кодексом України.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Платники податку.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Платниками податку 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суб”єкти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господарювання, які застосовують спрощену систему оподаткування, обліку та звітності. Платники податку поділяються на  групи  у відповідності до ст. 291 Податкового кодексу України.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Об’єкт оподаткування.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Об’єктом оподаткування є дохід платника єдиного податку, порядок визначення якого  наведено в  ст. 292 Податкового кодексу України.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4.База оподаткування.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фізичних осіб І та ІІ груп  база оподаткування носить фіксований характер і не залежить від суми одержаної виручки. Для інших платників єдиного податку (фізичних та юридичних осіб) груп  базою оподаткування є дохід від реалізації продукції (товарів, робіт, послуг). Дохід визначається на підставі даних обліку, який ведеться відповідно до вимог ст. 296 Податкового кодексу України.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Ставки податку.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Ставки податку для фізичних  осіб І групи  встановлюються  міською радою у відсотках до прожиткового мінімуму для працездатних осіб, встановленого законом на 1 січня податкового (звітного) року,  ІІ групи – у відсотках до  мінімальної заробітної плати, встановленої законом на 1 січня податкового (звітного) року, у межах, визначених  ст. 293  Податкового кодексу України.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інших груп платників єдиного податку (фізичних та юридичних осіб) розміри ставок визначаються у відсотках до доходу згідно із ст. 293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Податкового кодексу України.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застосування ставок єдиного податку у разі перевищення визначеного законодавством обсягу доходу регулюється ст. 293 Податкового кодексу України.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Порядок обчислення.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Платники єдиного податку – фізичні особи І-ІІ груп сплачують податок за фіксованими ставками, незалежно від обсягу доходу 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Інші платники єдиного податку обчислюють суму податку у відсотках від доходу, порядок визначення якого регулюється ст. 292 Податкового кодексу України.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Строк та порядок сплати.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нарахування та строки сплати єдиного податку визначено в ст.295 Податкового кодексу України. Податковий (звітний) період для платників єдиного податку визначено ст. 294 Податкового кодексу України.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Строк та порядок подання звітності про обчислення і сплату податку.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Платники єдиного податку здійснюють подання звітності про  сплату єдиного податку  в порядку та строки, визначені ст. 296 Податкового кодексу України.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9. Особливості податкового навантаження.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Платники єдиного податку звільняються від обов’язку нарахування, сплати податків і зборів, перелік яких наведено  в ст. 297 Податкового кодексу України.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Відповідальність.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Платники  єдиного податку несуть відповідальність за правильність обчислення, своєчасність та повноту сплати сум єдиного податку, а також за своєчасність  подання податкових декларацій у відповідності з Податковим кодексом України.</w:t>
      </w:r>
    </w:p>
    <w:p w:rsidR="00F75D30" w:rsidRDefault="00F75D30" w:rsidP="00F7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справлянням податку, повнотою та своєчасністю його сплати покладено на податкові органи.</w:t>
      </w:r>
    </w:p>
    <w:p w:rsidR="00F75D30" w:rsidRDefault="00F75D30" w:rsidP="00F7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30" w:rsidRDefault="00F75D30" w:rsidP="00F7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30" w:rsidRDefault="00F75D30" w:rsidP="00F75D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           Ярослав  ДЗИНДРА</w:t>
      </w:r>
    </w:p>
    <w:sectPr w:rsidR="00F75D30" w:rsidSect="00CE7E87">
      <w:pgSz w:w="11906" w:h="16838"/>
      <w:pgMar w:top="709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4962"/>
    <w:rsid w:val="0024561A"/>
    <w:rsid w:val="002604AE"/>
    <w:rsid w:val="00381547"/>
    <w:rsid w:val="006B195D"/>
    <w:rsid w:val="00A04962"/>
    <w:rsid w:val="00A124DD"/>
    <w:rsid w:val="00B5757F"/>
    <w:rsid w:val="00F7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47"/>
  </w:style>
  <w:style w:type="paragraph" w:styleId="3">
    <w:name w:val="heading 3"/>
    <w:basedOn w:val="a"/>
    <w:link w:val="30"/>
    <w:qFormat/>
    <w:rsid w:val="00A04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496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rsid w:val="00A0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A04962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A0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apkaDocumentu">
    <w:name w:val="Shapka Documentu"/>
    <w:basedOn w:val="a"/>
    <w:rsid w:val="00F75D30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2360</Words>
  <Characters>1346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2019-07-01T11:52:00Z</dcterms:created>
  <dcterms:modified xsi:type="dcterms:W3CDTF">2019-07-04T05:32:00Z</dcterms:modified>
</cp:coreProperties>
</file>