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F9" w:rsidRPr="00224D46" w:rsidRDefault="00D72DF9" w:rsidP="00D72DF9">
      <w:pPr>
        <w:pStyle w:val="ShapkaDocumentu"/>
        <w:spacing w:after="0"/>
        <w:ind w:left="0"/>
        <w:jc w:val="left"/>
        <w:rPr>
          <w:rFonts w:ascii="Times New Roman" w:hAnsi="Times New Roman"/>
          <w:b/>
          <w:sz w:val="28"/>
          <w:szCs w:val="28"/>
        </w:rPr>
      </w:pPr>
      <w:r w:rsidRPr="00224D46">
        <w:rPr>
          <w:rFonts w:ascii="Times New Roman" w:hAnsi="Times New Roman"/>
          <w:sz w:val="28"/>
          <w:szCs w:val="28"/>
          <w:lang w:val="ru-RU"/>
        </w:rPr>
        <w:t xml:space="preserve">                                                                  </w:t>
      </w:r>
      <w:r>
        <w:rPr>
          <w:rFonts w:ascii="Times New Roman" w:hAnsi="Times New Roman"/>
          <w:sz w:val="28"/>
          <w:szCs w:val="28"/>
          <w:lang w:val="ru-RU"/>
        </w:rPr>
        <w:t xml:space="preserve">                </w:t>
      </w:r>
      <w:r w:rsidRPr="00224D46">
        <w:rPr>
          <w:rFonts w:ascii="Times New Roman" w:hAnsi="Times New Roman"/>
          <w:b/>
          <w:sz w:val="28"/>
          <w:szCs w:val="28"/>
        </w:rPr>
        <w:t>Додаток 3</w:t>
      </w:r>
      <w:r w:rsidRPr="00224D46">
        <w:rPr>
          <w:rFonts w:ascii="Times New Roman" w:hAnsi="Times New Roman"/>
          <w:b/>
          <w:sz w:val="28"/>
          <w:szCs w:val="28"/>
        </w:rPr>
        <w:br/>
        <w:t xml:space="preserve">                                                      </w:t>
      </w:r>
      <w:r>
        <w:rPr>
          <w:rFonts w:ascii="Times New Roman" w:hAnsi="Times New Roman"/>
          <w:b/>
          <w:sz w:val="28"/>
          <w:szCs w:val="28"/>
        </w:rPr>
        <w:t xml:space="preserve">                            </w:t>
      </w:r>
      <w:r w:rsidRPr="00224D46">
        <w:rPr>
          <w:rFonts w:ascii="Times New Roman" w:hAnsi="Times New Roman"/>
          <w:b/>
          <w:sz w:val="28"/>
          <w:szCs w:val="28"/>
        </w:rPr>
        <w:t xml:space="preserve">до рішення  міської ради </w:t>
      </w:r>
    </w:p>
    <w:p w:rsidR="00D72DF9" w:rsidRPr="00224D46" w:rsidRDefault="00D72DF9" w:rsidP="00D72DF9">
      <w:pPr>
        <w:pStyle w:val="ShapkaDocumentu"/>
        <w:spacing w:after="0"/>
        <w:ind w:left="0"/>
        <w:jc w:val="left"/>
        <w:rPr>
          <w:rFonts w:ascii="Times New Roman" w:hAnsi="Times New Roman"/>
          <w:b/>
          <w:sz w:val="28"/>
          <w:szCs w:val="28"/>
        </w:rPr>
      </w:pPr>
      <w:r w:rsidRPr="00224D46">
        <w:rPr>
          <w:rFonts w:ascii="Times New Roman" w:hAnsi="Times New Roman"/>
          <w:b/>
          <w:sz w:val="28"/>
          <w:szCs w:val="28"/>
        </w:rPr>
        <w:t xml:space="preserve">                                                                             </w:t>
      </w:r>
      <w:r>
        <w:rPr>
          <w:rFonts w:ascii="Times New Roman" w:hAnsi="Times New Roman"/>
          <w:b/>
          <w:sz w:val="28"/>
          <w:szCs w:val="28"/>
        </w:rPr>
        <w:t xml:space="preserve">    </w:t>
      </w:r>
      <w:r w:rsidRPr="00224D46">
        <w:rPr>
          <w:rFonts w:ascii="Times New Roman" w:hAnsi="Times New Roman"/>
          <w:b/>
          <w:sz w:val="28"/>
          <w:szCs w:val="28"/>
        </w:rPr>
        <w:t xml:space="preserve"> від  26 червня 2019 р  №1508</w:t>
      </w:r>
    </w:p>
    <w:p w:rsidR="00D72DF9" w:rsidRDefault="00D72DF9" w:rsidP="00D72DF9">
      <w:pPr>
        <w:pStyle w:val="a5"/>
        <w:outlineLvl w:val="3"/>
        <w:rPr>
          <w:b w:val="0"/>
        </w:rPr>
      </w:pPr>
    </w:p>
    <w:p w:rsidR="00D72DF9" w:rsidRDefault="00D72DF9" w:rsidP="00D72DF9">
      <w:pPr>
        <w:pStyle w:val="a5"/>
        <w:outlineLvl w:val="3"/>
      </w:pPr>
    </w:p>
    <w:p w:rsidR="00D72DF9" w:rsidRDefault="00D72DF9" w:rsidP="00D72DF9">
      <w:pPr>
        <w:pStyle w:val="a5"/>
        <w:outlineLvl w:val="3"/>
      </w:pPr>
    </w:p>
    <w:p w:rsidR="00F23210" w:rsidRPr="00D850F0" w:rsidRDefault="00F23210" w:rsidP="00F23210">
      <w:pPr>
        <w:pStyle w:val="a5"/>
        <w:outlineLvl w:val="3"/>
        <w:rPr>
          <w:b w:val="0"/>
          <w:color w:val="FF6600"/>
          <w:lang w:val="ru-RU"/>
        </w:rPr>
      </w:pPr>
    </w:p>
    <w:p w:rsidR="00F23210" w:rsidRPr="00D850F0" w:rsidRDefault="00F23210" w:rsidP="00F23210">
      <w:pPr>
        <w:pStyle w:val="a5"/>
        <w:outlineLvl w:val="3"/>
      </w:pPr>
      <w:r w:rsidRPr="00D850F0">
        <w:t>ЕЛЕМЕНТИ</w:t>
      </w:r>
    </w:p>
    <w:p w:rsidR="00F23210" w:rsidRPr="00D850F0" w:rsidRDefault="00F23210" w:rsidP="00F23210">
      <w:pPr>
        <w:pStyle w:val="a5"/>
        <w:outlineLvl w:val="3"/>
      </w:pPr>
      <w:r w:rsidRPr="00D850F0">
        <w:t>визначення податку на нерухоме майно,</w:t>
      </w:r>
    </w:p>
    <w:p w:rsidR="00F23210" w:rsidRPr="00D850F0" w:rsidRDefault="00F23210" w:rsidP="00F23210">
      <w:pPr>
        <w:pStyle w:val="a5"/>
        <w:outlineLvl w:val="3"/>
      </w:pPr>
      <w:r w:rsidRPr="00D850F0">
        <w:t>відмінне від земельної ділянки в місті Чорткові</w:t>
      </w:r>
    </w:p>
    <w:p w:rsidR="00F23210" w:rsidRDefault="00F23210" w:rsidP="00F23210">
      <w:pPr>
        <w:pStyle w:val="a5"/>
        <w:spacing w:line="0" w:lineRule="atLeast"/>
        <w:jc w:val="left"/>
        <w:outlineLvl w:val="3"/>
        <w:rPr>
          <w:b w:val="0"/>
        </w:rPr>
      </w:pPr>
    </w:p>
    <w:p w:rsidR="00F23210" w:rsidRPr="00482C29" w:rsidRDefault="00F23210" w:rsidP="00F23210">
      <w:pPr>
        <w:pStyle w:val="a5"/>
        <w:spacing w:line="0" w:lineRule="atLeast"/>
        <w:jc w:val="left"/>
        <w:outlineLvl w:val="3"/>
        <w:rPr>
          <w:b w:val="0"/>
        </w:rPr>
      </w:pPr>
      <w:r w:rsidRPr="00482C29">
        <w:rPr>
          <w:b w:val="0"/>
        </w:rPr>
        <w:t>1.Платники податку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Платниками податку є фізичні та юридичні особи, в тому числі нерезиденти, які є власниками об'єктів житлової та/або нежитлової нерухомості.</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F23210"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2. Об'єкт оподаткування</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    2.1.Об'єктом оподаткування є об'єкт житлової та нежитлової нерухомості,                  в тому числі його частка.</w:t>
      </w:r>
    </w:p>
    <w:p w:rsidR="00F23210" w:rsidRPr="00482C29" w:rsidRDefault="00F23210" w:rsidP="00F23210">
      <w:pPr>
        <w:spacing w:after="0" w:line="0" w:lineRule="atLeast"/>
        <w:jc w:val="both"/>
        <w:rPr>
          <w:rFonts w:ascii="Times New Roman" w:hAnsi="Times New Roman"/>
          <w:sz w:val="28"/>
          <w:szCs w:val="28"/>
        </w:rPr>
      </w:pPr>
      <w:r>
        <w:rPr>
          <w:rFonts w:ascii="Times New Roman" w:hAnsi="Times New Roman"/>
          <w:sz w:val="28"/>
          <w:szCs w:val="28"/>
        </w:rPr>
        <w:t xml:space="preserve">  </w:t>
      </w:r>
      <w:r w:rsidRPr="00482C29">
        <w:rPr>
          <w:rFonts w:ascii="Times New Roman" w:hAnsi="Times New Roman"/>
          <w:sz w:val="28"/>
          <w:szCs w:val="28"/>
        </w:rPr>
        <w:t xml:space="preserve">  2.2. Не є об'єктом оподаткування:</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б) будівлі дитячих будинків сімейного типу;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в) гуртожитки;</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ґ) житлова нерухомість непридатна для проживання, в тому числі у зв'язку          з аварійним станом, визнана такою згідно з рішенням  міської ради;</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lastRenderedPageBreak/>
        <w:t>е) об'єкти нежитлової нерухомості, які використовуються суб'єктами господарювання малого та середнього бізнесу, що провадять свою діяльність     в тимчасових спорудах та на ринках;</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є) будівлі промисловості, зокрема виробничі корпуси, цехи, складські приміщення промислових підприємств;</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з) об'єкти житлової та нежитлової нерухомості, які перебувають у власності громадських організацій інвалідів та їх підприємств;</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и)об’єкти житлової та/або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й) господарські (присадибні) будівлі,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які використовуються за  цільовим призначенням;</w:t>
      </w:r>
    </w:p>
    <w:p w:rsidR="00F23210" w:rsidRPr="00482C29" w:rsidRDefault="00F23210" w:rsidP="00F23210">
      <w:pPr>
        <w:spacing w:after="0" w:line="0" w:lineRule="atLeast"/>
        <w:rPr>
          <w:rFonts w:ascii="Times New Roman" w:hAnsi="Times New Roman"/>
          <w:color w:val="000000"/>
          <w:sz w:val="28"/>
          <w:szCs w:val="28"/>
          <w:shd w:val="clear" w:color="auto" w:fill="FFFFFF"/>
        </w:rPr>
      </w:pPr>
      <w:r w:rsidRPr="00482C29">
        <w:rPr>
          <w:rFonts w:ascii="Times New Roman" w:hAnsi="Times New Roman"/>
          <w:color w:val="000000"/>
          <w:sz w:val="28"/>
          <w:szCs w:val="28"/>
          <w:shd w:val="clear" w:color="auto" w:fill="FFFFFF"/>
        </w:rPr>
        <w:t>к) об’єкти житлової нерухомості, які належать багатодітним або прийомним сім’ям, у яких виховується п’ять та більше дітей.</w:t>
      </w:r>
    </w:p>
    <w:p w:rsidR="00F23210" w:rsidRPr="00482C29" w:rsidRDefault="00F23210" w:rsidP="00F23210">
      <w:pPr>
        <w:pStyle w:val="a3"/>
        <w:shd w:val="clear" w:color="auto" w:fill="FFFFFF"/>
        <w:spacing w:before="0" w:beforeAutospacing="0" w:after="0" w:line="0" w:lineRule="atLeast"/>
        <w:jc w:val="both"/>
        <w:rPr>
          <w:sz w:val="28"/>
          <w:szCs w:val="28"/>
        </w:rPr>
      </w:pPr>
      <w:r w:rsidRPr="00482C29">
        <w:rPr>
          <w:color w:val="000000"/>
          <w:sz w:val="28"/>
          <w:szCs w:val="28"/>
          <w:shd w:val="clear" w:color="auto" w:fill="FFFFFF"/>
        </w:rPr>
        <w:t xml:space="preserve">л) об’єкти житлової нерухомості, які належать   </w:t>
      </w:r>
      <w:r w:rsidRPr="00482C29">
        <w:rPr>
          <w:sz w:val="28"/>
          <w:szCs w:val="28"/>
        </w:rPr>
        <w:t>учасникам АТО або сім'ям загиблих учасників.</w:t>
      </w:r>
    </w:p>
    <w:p w:rsidR="00F23210" w:rsidRPr="00482C29" w:rsidRDefault="00F23210" w:rsidP="00F23210">
      <w:pPr>
        <w:spacing w:after="0" w:line="0" w:lineRule="atLeast"/>
        <w:rPr>
          <w:rFonts w:ascii="Times New Roman" w:hAnsi="Times New Roman"/>
          <w:color w:val="000000"/>
          <w:sz w:val="28"/>
          <w:szCs w:val="28"/>
          <w:shd w:val="clear" w:color="auto" w:fill="FFFFFF"/>
        </w:rPr>
      </w:pPr>
      <w:r w:rsidRPr="00482C29">
        <w:rPr>
          <w:rFonts w:ascii="Times New Roman" w:hAnsi="Times New Roman"/>
          <w:color w:val="000000"/>
          <w:sz w:val="28"/>
          <w:szCs w:val="28"/>
          <w:shd w:val="clear" w:color="auto" w:fill="FFFFFF"/>
        </w:rPr>
        <w:t xml:space="preserve"> </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3. База оподаткування</w:t>
      </w:r>
    </w:p>
    <w:p w:rsidR="00F23210"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3.1. Базою оподаткування є загальна площа об'єкта житлової та нежитлової нерухомості, в тому числі його часток.</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4. Пільги із сплати податку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lastRenderedPageBreak/>
        <w:t xml:space="preserve">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а) для квартири/квартир незалежно від їх кількості - на </w:t>
      </w:r>
      <w:smartTag w:uri="urn:schemas-microsoft-com:office:smarttags" w:element="metricconverter">
        <w:smartTagPr>
          <w:attr w:name="ProductID" w:val="60 кв. метрів"/>
        </w:smartTagPr>
        <w:r w:rsidRPr="00482C29">
          <w:rPr>
            <w:rFonts w:ascii="Times New Roman" w:hAnsi="Times New Roman"/>
            <w:sz w:val="28"/>
            <w:szCs w:val="28"/>
          </w:rPr>
          <w:t>60 кв. метрів</w:t>
        </w:r>
      </w:smartTag>
      <w:r w:rsidRPr="00482C29">
        <w:rPr>
          <w:rFonts w:ascii="Times New Roman" w:hAnsi="Times New Roman"/>
          <w:sz w:val="28"/>
          <w:szCs w:val="28"/>
        </w:rPr>
        <w:t>;</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б) для житлового будинку/будинків незалежно від їх кількості - на </w:t>
      </w:r>
      <w:smartTag w:uri="urn:schemas-microsoft-com:office:smarttags" w:element="metricconverter">
        <w:smartTagPr>
          <w:attr w:name="ProductID" w:val="120 кв. метрів"/>
        </w:smartTagPr>
        <w:r w:rsidRPr="00482C29">
          <w:rPr>
            <w:rFonts w:ascii="Times New Roman" w:hAnsi="Times New Roman"/>
            <w:sz w:val="28"/>
            <w:szCs w:val="28"/>
          </w:rPr>
          <w:t>120 кв. метрів</w:t>
        </w:r>
      </w:smartTag>
      <w:r w:rsidRPr="00482C29">
        <w:rPr>
          <w:rFonts w:ascii="Times New Roman" w:hAnsi="Times New Roman"/>
          <w:sz w:val="28"/>
          <w:szCs w:val="28"/>
        </w:rPr>
        <w:t>;</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sidRPr="00482C29">
          <w:rPr>
            <w:rFonts w:ascii="Times New Roman" w:hAnsi="Times New Roman"/>
            <w:sz w:val="28"/>
            <w:szCs w:val="28"/>
          </w:rPr>
          <w:t>180 кв. метрів</w:t>
        </w:r>
      </w:smartTag>
      <w:r w:rsidRPr="00482C29">
        <w:rPr>
          <w:rFonts w:ascii="Times New Roman" w:hAnsi="Times New Roman"/>
          <w:sz w:val="28"/>
          <w:szCs w:val="28"/>
        </w:rPr>
        <w:t>.</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5. Податковий період</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Базовий податковий (звітний) період дорівнює календарному року.</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6. Порядок обчислення суми податку</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6.1. Обчислення суми податку з об'єкта/об'єктів житлової нерухомості,             які перебувають у власності фізичних осіб, здійснюється у такому порядку: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4 цього </w:t>
      </w:r>
      <w:r>
        <w:rPr>
          <w:rFonts w:ascii="Times New Roman" w:hAnsi="Times New Roman"/>
          <w:sz w:val="28"/>
          <w:szCs w:val="28"/>
        </w:rPr>
        <w:t>Елемента визначення;</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4 цього </w:t>
      </w:r>
      <w:r>
        <w:rPr>
          <w:rFonts w:ascii="Times New Roman" w:hAnsi="Times New Roman"/>
          <w:sz w:val="28"/>
          <w:szCs w:val="28"/>
        </w:rPr>
        <w:t>Елемента визначення</w:t>
      </w:r>
      <w:r w:rsidRPr="00482C29">
        <w:rPr>
          <w:rFonts w:ascii="Times New Roman" w:hAnsi="Times New Roman"/>
          <w:sz w:val="28"/>
          <w:szCs w:val="28"/>
        </w:rPr>
        <w:t>;</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пункту 4 цього </w:t>
      </w:r>
      <w:r>
        <w:rPr>
          <w:rFonts w:ascii="Times New Roman" w:hAnsi="Times New Roman"/>
          <w:sz w:val="28"/>
          <w:szCs w:val="28"/>
        </w:rPr>
        <w:t>Елемента визначення</w:t>
      </w:r>
      <w:r w:rsidRPr="00482C29">
        <w:rPr>
          <w:rFonts w:ascii="Times New Roman" w:hAnsi="Times New Roman"/>
          <w:sz w:val="28"/>
          <w:szCs w:val="28"/>
        </w:rPr>
        <w:t xml:space="preserve">; </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г) сума податку, обчислена з урахуванням підпунктів 2 і 3 цього пункту, розподіляється контролюючим органом пропорційно до питомої ваги загальної площі кожного з об'єктів житлової нерухомості.</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color w:val="000000"/>
          <w:sz w:val="28"/>
          <w:szCs w:val="28"/>
          <w:shd w:val="clear" w:color="auto" w:fill="FFFFFF"/>
        </w:rPr>
        <w:t>д)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збільшується на 25000 гривень на рік за кожен такий об’єкт житлової нерухомості (його частку).</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6.2. Податкове/податкові повідомлення-рішення про сплату суми/сум податку, обчисленого згідно з пунктом 6.1 цього </w:t>
      </w:r>
      <w:r>
        <w:rPr>
          <w:rFonts w:ascii="Times New Roman" w:hAnsi="Times New Roman"/>
          <w:sz w:val="28"/>
          <w:szCs w:val="28"/>
        </w:rPr>
        <w:t>Елемента визначення</w:t>
      </w:r>
      <w:r w:rsidRPr="00482C29">
        <w:rPr>
          <w:rFonts w:ascii="Times New Roman" w:hAnsi="Times New Roman"/>
          <w:sz w:val="28"/>
          <w:szCs w:val="28"/>
        </w:rPr>
        <w:t xml:space="preserve">,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w:t>
      </w:r>
      <w:r w:rsidRPr="00482C29">
        <w:rPr>
          <w:rFonts w:ascii="Times New Roman" w:hAnsi="Times New Roman"/>
          <w:sz w:val="28"/>
          <w:szCs w:val="28"/>
        </w:rPr>
        <w:lastRenderedPageBreak/>
        <w:t>органом за місцем його податкової адреси (місцем реєстрації) до 1 липня року, що настає за базовим податковим (звітним) періодом (роком).</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7. Порядок обчислення сум податку в разі зміни власника об'єкта оподаткування податком</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7.1.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7.2. Контролюючий орган надсилає податкове повідомлення-рішення новому власнику після отримання інформації про перехід права власності.</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8. Порядок сплати податку</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 xml:space="preserve"> 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9. Строки сплати податку</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9.1. Податкове зобов'язання за звітний рік з податку сплачується:</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а) фізичними особами - протягом 60 днів з дня вручення податкового повідомлення-рішення;</w:t>
      </w: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spacing w:after="0" w:line="0" w:lineRule="atLeast"/>
        <w:jc w:val="both"/>
        <w:rPr>
          <w:rFonts w:ascii="Times New Roman" w:hAnsi="Times New Roman"/>
          <w:sz w:val="28"/>
          <w:szCs w:val="28"/>
        </w:rPr>
      </w:pPr>
      <w:r w:rsidRPr="00482C29">
        <w:rPr>
          <w:rFonts w:ascii="Times New Roman" w:hAnsi="Times New Roman"/>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F23210" w:rsidRPr="00482C29" w:rsidRDefault="00F23210" w:rsidP="00F23210">
      <w:pPr>
        <w:spacing w:after="0" w:line="0" w:lineRule="atLeast"/>
        <w:jc w:val="both"/>
        <w:rPr>
          <w:rFonts w:ascii="Times New Roman" w:hAnsi="Times New Roman"/>
          <w:sz w:val="28"/>
          <w:szCs w:val="28"/>
        </w:rPr>
      </w:pPr>
    </w:p>
    <w:p w:rsidR="00F23210" w:rsidRPr="00F23210" w:rsidRDefault="00F23210" w:rsidP="00F23210">
      <w:pPr>
        <w:pStyle w:val="a6"/>
        <w:spacing w:after="0" w:line="0" w:lineRule="atLeast"/>
        <w:jc w:val="both"/>
        <w:rPr>
          <w:sz w:val="28"/>
          <w:szCs w:val="28"/>
          <w:lang w:val="uk-UA"/>
        </w:rPr>
      </w:pPr>
      <w:r w:rsidRPr="00482C29">
        <w:rPr>
          <w:sz w:val="28"/>
          <w:szCs w:val="28"/>
          <w:lang w:val="uk-UA"/>
        </w:rPr>
        <w:t>10</w:t>
      </w:r>
      <w:r w:rsidRPr="00F23210">
        <w:rPr>
          <w:sz w:val="28"/>
          <w:szCs w:val="28"/>
          <w:lang w:val="uk-UA"/>
        </w:rPr>
        <w:t xml:space="preserve">. Контроль за повнотою, правильністю та своєчасністю сплати податку </w:t>
      </w:r>
      <w:r w:rsidRPr="00482C29">
        <w:rPr>
          <w:sz w:val="28"/>
          <w:szCs w:val="28"/>
          <w:lang w:val="uk-UA"/>
        </w:rPr>
        <w:t xml:space="preserve">         </w:t>
      </w:r>
      <w:r w:rsidRPr="00F23210">
        <w:rPr>
          <w:sz w:val="28"/>
          <w:szCs w:val="28"/>
          <w:lang w:val="uk-UA"/>
        </w:rPr>
        <w:t>на нерухоме майно, відмінне від земельної ділянки здійснює</w:t>
      </w:r>
      <w:r w:rsidRPr="00482C29">
        <w:rPr>
          <w:sz w:val="28"/>
          <w:szCs w:val="28"/>
          <w:lang w:val="uk-UA"/>
        </w:rPr>
        <w:t xml:space="preserve"> </w:t>
      </w:r>
      <w:proofErr w:type="spellStart"/>
      <w:r>
        <w:rPr>
          <w:sz w:val="28"/>
          <w:szCs w:val="28"/>
          <w:lang w:val="uk-UA"/>
        </w:rPr>
        <w:t>Чортківське</w:t>
      </w:r>
      <w:proofErr w:type="spellEnd"/>
      <w:r>
        <w:rPr>
          <w:sz w:val="28"/>
          <w:szCs w:val="28"/>
          <w:lang w:val="uk-UA"/>
        </w:rPr>
        <w:t xml:space="preserve"> управління ГУ ДФС в Тернопільській </w:t>
      </w:r>
      <w:r w:rsidRPr="00482C29">
        <w:rPr>
          <w:sz w:val="28"/>
          <w:szCs w:val="28"/>
          <w:lang w:val="uk-UA"/>
        </w:rPr>
        <w:t>області.</w:t>
      </w:r>
    </w:p>
    <w:p w:rsidR="00F23210" w:rsidRPr="00482C29" w:rsidRDefault="00F23210" w:rsidP="00F23210">
      <w:pPr>
        <w:pStyle w:val="StyleZakonu"/>
        <w:spacing w:after="0" w:line="0" w:lineRule="atLeast"/>
        <w:ind w:firstLine="0"/>
        <w:rPr>
          <w:sz w:val="28"/>
          <w:szCs w:val="28"/>
        </w:rPr>
      </w:pPr>
    </w:p>
    <w:p w:rsidR="00F23210" w:rsidRPr="00482C29" w:rsidRDefault="00F23210" w:rsidP="00F23210">
      <w:pPr>
        <w:spacing w:after="0" w:line="0" w:lineRule="atLeast"/>
        <w:jc w:val="both"/>
        <w:rPr>
          <w:rFonts w:ascii="Times New Roman" w:hAnsi="Times New Roman"/>
          <w:sz w:val="28"/>
          <w:szCs w:val="28"/>
        </w:rPr>
      </w:pPr>
    </w:p>
    <w:p w:rsidR="00F23210" w:rsidRPr="00482C29" w:rsidRDefault="00F23210" w:rsidP="00F23210">
      <w:pPr>
        <w:pStyle w:val="a4"/>
        <w:spacing w:before="0" w:line="0" w:lineRule="atLeast"/>
        <w:ind w:firstLine="0"/>
        <w:jc w:val="both"/>
        <w:rPr>
          <w:rFonts w:ascii="Times New Roman" w:hAnsi="Times New Roman"/>
          <w:b/>
          <w:sz w:val="28"/>
          <w:szCs w:val="28"/>
        </w:rPr>
      </w:pPr>
      <w:proofErr w:type="spellStart"/>
      <w:r>
        <w:rPr>
          <w:rFonts w:ascii="Times New Roman" w:hAnsi="Times New Roman"/>
          <w:b/>
          <w:sz w:val="28"/>
          <w:szCs w:val="28"/>
          <w:lang w:val="ru-RU"/>
        </w:rPr>
        <w:t>Секретар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міської</w:t>
      </w:r>
      <w:proofErr w:type="spellEnd"/>
      <w:r>
        <w:rPr>
          <w:rFonts w:ascii="Times New Roman" w:hAnsi="Times New Roman"/>
          <w:b/>
          <w:sz w:val="28"/>
          <w:szCs w:val="28"/>
          <w:lang w:val="ru-RU"/>
        </w:rPr>
        <w:t xml:space="preserve">  </w:t>
      </w:r>
      <w:r w:rsidRPr="0083110F">
        <w:rPr>
          <w:rFonts w:ascii="Times New Roman" w:hAnsi="Times New Roman"/>
          <w:b/>
          <w:sz w:val="28"/>
          <w:szCs w:val="28"/>
          <w:lang w:val="ru-RU"/>
        </w:rPr>
        <w:t xml:space="preserve">ради </w:t>
      </w:r>
      <w:r>
        <w:rPr>
          <w:rFonts w:ascii="Times New Roman" w:hAnsi="Times New Roman"/>
          <w:b/>
          <w:sz w:val="28"/>
          <w:szCs w:val="28"/>
          <w:lang w:val="ru-RU"/>
        </w:rPr>
        <w:t xml:space="preserve">                                                   </w:t>
      </w:r>
      <w:r w:rsidRPr="0083110F">
        <w:rPr>
          <w:rFonts w:ascii="Times New Roman" w:hAnsi="Times New Roman"/>
          <w:b/>
          <w:sz w:val="28"/>
          <w:szCs w:val="28"/>
          <w:lang w:val="ru-RU"/>
        </w:rPr>
        <w:t xml:space="preserve">  Я</w:t>
      </w:r>
      <w:r>
        <w:rPr>
          <w:rFonts w:ascii="Times New Roman" w:hAnsi="Times New Roman"/>
          <w:b/>
          <w:sz w:val="28"/>
          <w:szCs w:val="28"/>
          <w:lang w:val="ru-RU"/>
        </w:rPr>
        <w:t xml:space="preserve">рослав </w:t>
      </w:r>
      <w:r w:rsidRPr="0083110F">
        <w:rPr>
          <w:rFonts w:ascii="Times New Roman" w:hAnsi="Times New Roman"/>
          <w:b/>
          <w:sz w:val="28"/>
          <w:szCs w:val="28"/>
          <w:lang w:val="ru-RU"/>
        </w:rPr>
        <w:t>ДЗИНДРА</w:t>
      </w: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p w:rsidR="00F23210" w:rsidRDefault="00F23210" w:rsidP="00D72DF9">
      <w:pPr>
        <w:pStyle w:val="a5"/>
        <w:outlineLvl w:val="3"/>
      </w:pPr>
    </w:p>
    <w:sectPr w:rsidR="00F23210" w:rsidSect="00224D4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72DF9"/>
    <w:rsid w:val="008C49B2"/>
    <w:rsid w:val="00B46776"/>
    <w:rsid w:val="00D72DF9"/>
    <w:rsid w:val="00F232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
    <w:rsid w:val="00D72DF9"/>
    <w:pPr>
      <w:spacing w:before="100" w:beforeAutospacing="1" w:after="119" w:line="240" w:lineRule="auto"/>
    </w:pPr>
    <w:rPr>
      <w:rFonts w:ascii="Calibri" w:eastAsia="Calibri" w:hAnsi="Calibri" w:cs="Times New Roman"/>
      <w:sz w:val="24"/>
      <w:szCs w:val="24"/>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D72DF9"/>
    <w:rPr>
      <w:rFonts w:ascii="Calibri" w:eastAsia="Calibri" w:hAnsi="Calibri" w:cs="Times New Roman"/>
      <w:sz w:val="24"/>
      <w:szCs w:val="24"/>
    </w:rPr>
  </w:style>
  <w:style w:type="paragraph" w:customStyle="1" w:styleId="a4">
    <w:name w:val="Нормальний текст"/>
    <w:basedOn w:val="a"/>
    <w:rsid w:val="00D72DF9"/>
    <w:pPr>
      <w:spacing w:before="120" w:after="0" w:line="240" w:lineRule="auto"/>
      <w:ind w:firstLine="567"/>
    </w:pPr>
    <w:rPr>
      <w:rFonts w:ascii="Antiqua" w:eastAsia="Calibri" w:hAnsi="Antiqua" w:cs="Times New Roman"/>
      <w:sz w:val="26"/>
      <w:szCs w:val="20"/>
      <w:lang w:eastAsia="ru-RU"/>
    </w:rPr>
  </w:style>
  <w:style w:type="paragraph" w:customStyle="1" w:styleId="ShapkaDocumentu">
    <w:name w:val="Shapka Documentu"/>
    <w:basedOn w:val="a"/>
    <w:rsid w:val="00D72DF9"/>
    <w:pPr>
      <w:keepNext/>
      <w:keepLines/>
      <w:spacing w:after="240" w:line="240" w:lineRule="auto"/>
      <w:ind w:left="3969"/>
      <w:jc w:val="center"/>
    </w:pPr>
    <w:rPr>
      <w:rFonts w:ascii="Antiqua" w:eastAsia="Calibri" w:hAnsi="Antiqua" w:cs="Times New Roman"/>
      <w:sz w:val="26"/>
      <w:szCs w:val="20"/>
      <w:lang w:eastAsia="ru-RU"/>
    </w:rPr>
  </w:style>
  <w:style w:type="paragraph" w:customStyle="1" w:styleId="StyleZakonu">
    <w:name w:val="StyleZakonu"/>
    <w:basedOn w:val="a"/>
    <w:rsid w:val="00D72DF9"/>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a5">
    <w:name w:val="Розділ"/>
    <w:basedOn w:val="StyleZakonu"/>
    <w:rsid w:val="00D72DF9"/>
    <w:pPr>
      <w:spacing w:after="0" w:line="240" w:lineRule="auto"/>
      <w:ind w:firstLine="0"/>
      <w:jc w:val="center"/>
    </w:pPr>
    <w:rPr>
      <w:b/>
      <w:sz w:val="28"/>
      <w:szCs w:val="28"/>
    </w:rPr>
  </w:style>
  <w:style w:type="paragraph" w:styleId="a6">
    <w:name w:val="Body Text"/>
    <w:basedOn w:val="a"/>
    <w:link w:val="a7"/>
    <w:rsid w:val="00D72DF9"/>
    <w:pPr>
      <w:spacing w:after="120" w:line="240" w:lineRule="auto"/>
    </w:pPr>
    <w:rPr>
      <w:rFonts w:ascii="Times New Roman" w:eastAsia="Times New Roman" w:hAnsi="Times New Roman" w:cs="Times New Roman"/>
      <w:sz w:val="20"/>
      <w:szCs w:val="20"/>
      <w:lang w:val="ru-RU" w:eastAsia="ru-RU"/>
    </w:rPr>
  </w:style>
  <w:style w:type="character" w:customStyle="1" w:styleId="a7">
    <w:name w:val="Основной текст Знак"/>
    <w:basedOn w:val="a0"/>
    <w:link w:val="a6"/>
    <w:rsid w:val="00D72DF9"/>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6009</Words>
  <Characters>3426</Characters>
  <Application>Microsoft Office Word</Application>
  <DocSecurity>0</DocSecurity>
  <Lines>28</Lines>
  <Paragraphs>18</Paragraphs>
  <ScaleCrop>false</ScaleCrop>
  <Company>Reanimator Extreme Edition</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2019-07-01T05:47:00Z</dcterms:created>
  <dcterms:modified xsi:type="dcterms:W3CDTF">2019-07-03T14:19:00Z</dcterms:modified>
</cp:coreProperties>
</file>