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02" w:rsidRPr="00C551DE" w:rsidRDefault="00A83602" w:rsidP="00216ED4">
      <w:pPr>
        <w:tabs>
          <w:tab w:val="left" w:pos="3555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51DE">
        <w:rPr>
          <w:rFonts w:ascii="Times New Roman" w:hAnsi="Times New Roman" w:cs="Times New Roman"/>
          <w:sz w:val="28"/>
          <w:szCs w:val="28"/>
        </w:rPr>
        <w:t xml:space="preserve">         Додаток </w:t>
      </w:r>
    </w:p>
    <w:p w:rsidR="00A83602" w:rsidRPr="00C551DE" w:rsidRDefault="00A83602" w:rsidP="00216ED4">
      <w:pPr>
        <w:tabs>
          <w:tab w:val="left" w:pos="3555"/>
        </w:tabs>
        <w:ind w:left="3540" w:right="-5"/>
        <w:rPr>
          <w:rFonts w:ascii="Times New Roman" w:hAnsi="Times New Roman" w:cs="Times New Roman"/>
          <w:sz w:val="28"/>
          <w:szCs w:val="28"/>
        </w:rPr>
      </w:pPr>
      <w:r w:rsidRPr="00C551DE">
        <w:rPr>
          <w:rFonts w:ascii="Times New Roman" w:hAnsi="Times New Roman" w:cs="Times New Roman"/>
          <w:sz w:val="28"/>
          <w:szCs w:val="28"/>
        </w:rPr>
        <w:tab/>
      </w:r>
      <w:r w:rsidRPr="00C551DE">
        <w:rPr>
          <w:rFonts w:ascii="Times New Roman" w:hAnsi="Times New Roman" w:cs="Times New Roman"/>
          <w:sz w:val="28"/>
          <w:szCs w:val="28"/>
        </w:rPr>
        <w:tab/>
      </w:r>
      <w:r w:rsidRPr="00C551DE">
        <w:rPr>
          <w:rFonts w:ascii="Times New Roman" w:hAnsi="Times New Roman" w:cs="Times New Roman"/>
          <w:sz w:val="28"/>
          <w:szCs w:val="28"/>
        </w:rPr>
        <w:tab/>
        <w:t xml:space="preserve">        до рішення вісімнадцятої сесії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Pr="00C551DE">
        <w:rPr>
          <w:rFonts w:ascii="Times New Roman" w:hAnsi="Times New Roman" w:cs="Times New Roman"/>
          <w:sz w:val="28"/>
          <w:szCs w:val="28"/>
        </w:rPr>
        <w:t>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сьомого </w:t>
      </w:r>
      <w:r w:rsidRPr="00C551DE">
        <w:rPr>
          <w:rFonts w:ascii="Times New Roman" w:hAnsi="Times New Roman" w:cs="Times New Roman"/>
          <w:sz w:val="28"/>
          <w:szCs w:val="28"/>
        </w:rPr>
        <w:t>скликання</w:t>
      </w:r>
    </w:p>
    <w:p w:rsidR="00A83602" w:rsidRPr="00C551DE" w:rsidRDefault="00A83602" w:rsidP="00216ED4">
      <w:pPr>
        <w:tabs>
          <w:tab w:val="left" w:pos="3555"/>
        </w:tabs>
        <w:ind w:left="3540" w:right="-5"/>
        <w:rPr>
          <w:rFonts w:ascii="Times New Roman" w:hAnsi="Times New Roman" w:cs="Times New Roman"/>
          <w:sz w:val="28"/>
          <w:szCs w:val="28"/>
        </w:rPr>
      </w:pPr>
      <w:r w:rsidRPr="00C551DE">
        <w:rPr>
          <w:rFonts w:ascii="Times New Roman" w:hAnsi="Times New Roman" w:cs="Times New Roman"/>
          <w:sz w:val="28"/>
          <w:szCs w:val="28"/>
        </w:rPr>
        <w:tab/>
      </w:r>
      <w:r w:rsidRPr="00C551DE">
        <w:rPr>
          <w:rFonts w:ascii="Times New Roman" w:hAnsi="Times New Roman" w:cs="Times New Roman"/>
          <w:sz w:val="28"/>
          <w:szCs w:val="28"/>
        </w:rPr>
        <w:tab/>
      </w:r>
      <w:r w:rsidRPr="00C551DE">
        <w:rPr>
          <w:rFonts w:ascii="Times New Roman" w:hAnsi="Times New Roman" w:cs="Times New Roman"/>
          <w:sz w:val="28"/>
          <w:szCs w:val="28"/>
        </w:rPr>
        <w:tab/>
        <w:t xml:space="preserve">        від 10 лютого 2017 року № 530</w:t>
      </w:r>
    </w:p>
    <w:p w:rsidR="00A83602" w:rsidRPr="009F7A8D" w:rsidRDefault="00A83602" w:rsidP="00EF2B5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272727"/>
          <w:sz w:val="28"/>
          <w:szCs w:val="28"/>
          <w:lang w:val="ru-RU" w:eastAsia="uk-UA"/>
        </w:rPr>
      </w:pPr>
      <w:r w:rsidRPr="009F7A8D">
        <w:rPr>
          <w:rFonts w:ascii="Times New Roman" w:hAnsi="Times New Roman" w:cs="Times New Roman"/>
          <w:b/>
          <w:bCs/>
          <w:color w:val="272727"/>
          <w:sz w:val="28"/>
          <w:szCs w:val="28"/>
          <w:lang w:eastAsia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color w:val="272727"/>
          <w:sz w:val="28"/>
          <w:szCs w:val="28"/>
          <w:lang w:eastAsia="uk-UA"/>
        </w:rPr>
        <w:t>Програма</w:t>
      </w:r>
      <w:r w:rsidRPr="00AA6386">
        <w:rPr>
          <w:rFonts w:ascii="Times New Roman" w:hAnsi="Times New Roman" w:cs="Times New Roman"/>
          <w:b/>
          <w:bCs/>
          <w:color w:val="272727"/>
          <w:sz w:val="28"/>
          <w:szCs w:val="28"/>
          <w:lang w:eastAsia="uk-UA"/>
        </w:rPr>
        <w:t xml:space="preserve"> </w:t>
      </w:r>
    </w:p>
    <w:p w:rsidR="00A83602" w:rsidRPr="00391509" w:rsidRDefault="00A83602" w:rsidP="00EF2B5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272727"/>
          <w:sz w:val="18"/>
          <w:szCs w:val="18"/>
          <w:lang w:eastAsia="uk-UA"/>
        </w:rPr>
      </w:pPr>
      <w:r w:rsidRPr="00AA6386">
        <w:rPr>
          <w:rFonts w:ascii="Times New Roman" w:hAnsi="Times New Roman" w:cs="Times New Roman"/>
          <w:b/>
          <w:bCs/>
          <w:color w:val="272727"/>
          <w:sz w:val="28"/>
          <w:szCs w:val="28"/>
          <w:lang w:eastAsia="uk-UA"/>
        </w:rPr>
        <w:t>підтримки та розвитку дітей з особливими потребами та дітей соціально незахищених категорій м.Чорткова на 2017 рік</w:t>
      </w:r>
    </w:p>
    <w:p w:rsidR="00A83602" w:rsidRPr="00391509" w:rsidRDefault="00A83602" w:rsidP="0039150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firstLine="0"/>
        <w:jc w:val="center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  <w:t>Паспорт Програми</w:t>
      </w:r>
    </w:p>
    <w:p w:rsidR="00A83602" w:rsidRPr="00EC4618" w:rsidRDefault="00A83602" w:rsidP="00586956">
      <w:pPr>
        <w:shd w:val="clear" w:color="auto" w:fill="FFFFFF"/>
        <w:spacing w:before="100" w:beforeAutospacing="1" w:after="100" w:afterAutospacing="1"/>
        <w:ind w:left="2880"/>
        <w:jc w:val="center"/>
        <w:rPr>
          <w:rFonts w:ascii="Times New Roman" w:hAnsi="Times New Roman" w:cs="Times New Roman"/>
          <w:color w:val="272727"/>
          <w:sz w:val="18"/>
          <w:szCs w:val="18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18"/>
          <w:szCs w:val="18"/>
          <w:lang w:eastAsia="uk-UA"/>
        </w:rPr>
        <w:t> </w:t>
      </w:r>
    </w:p>
    <w:tbl>
      <w:tblPr>
        <w:tblW w:w="9465" w:type="dxa"/>
        <w:tblCellSpacing w:w="0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47"/>
        <w:gridCol w:w="4153"/>
        <w:gridCol w:w="4665"/>
      </w:tblGrid>
      <w:tr w:rsidR="00A83602" w:rsidRPr="00DF6B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Ініціатор розроблення Програми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Центр соціальних служб для дітей, сім’ї та молоді Чортківської міської ради</w:t>
            </w:r>
          </w:p>
        </w:tc>
      </w:tr>
      <w:tr w:rsidR="00A83602" w:rsidRPr="00DF6B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Розробник Програми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Центр соціальних служб для дітей, сім’ї та молоді Чортківської міської ради</w:t>
            </w:r>
          </w:p>
        </w:tc>
      </w:tr>
      <w:tr w:rsidR="00A83602" w:rsidRPr="00DF6B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Відповідальний виконавець Програми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4B33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 «Дім милосердя»</w:t>
            </w:r>
          </w:p>
        </w:tc>
      </w:tr>
      <w:tr w:rsidR="00A83602" w:rsidRPr="00DF6B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Учасники Програми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 «Дім милосердя», Центр соціальних служб для дітей, сім’ї та молоді Чортківської міської ради</w:t>
            </w:r>
          </w:p>
        </w:tc>
      </w:tr>
      <w:tr w:rsidR="00A83602" w:rsidRPr="00DF6B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Термін реалізації Програми</w:t>
            </w:r>
          </w:p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2017 рік</w:t>
            </w:r>
          </w:p>
        </w:tc>
      </w:tr>
      <w:tr w:rsidR="00A83602" w:rsidRPr="00DF6B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 бюджетів, які беруть участь у виконанні Програми</w:t>
            </w:r>
          </w:p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Міський бюджет</w:t>
            </w:r>
          </w:p>
        </w:tc>
      </w:tr>
      <w:tr w:rsidR="00A83602" w:rsidRPr="00DF6BD5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Загальний обсяг фінансованих ресурсів, необхідних для реалізації Програми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110</w:t>
            </w:r>
            <w:r w:rsidRPr="003915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тис. грн.</w:t>
            </w:r>
          </w:p>
        </w:tc>
      </w:tr>
    </w:tbl>
    <w:p w:rsidR="00A83602" w:rsidRPr="00391509" w:rsidRDefault="00A83602">
      <w:pPr>
        <w:rPr>
          <w:rFonts w:ascii="Times New Roman" w:hAnsi="Times New Roman" w:cs="Times New Roman"/>
        </w:rPr>
      </w:pPr>
    </w:p>
    <w:p w:rsidR="00A83602" w:rsidRPr="00EC4618" w:rsidRDefault="00A83602" w:rsidP="0058695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  <w:t>2.Вступ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            Соціально-економічна ситуація, що склалася на сучасному етапі розвитку міста, кризові явища у сфері економіки і фінансів зумовлюють необхідність посилення соціального захисту дітей-інвалідів, визначення пріоритетних напрямків у цій важливій роботі, одним із яких є соціальна реабілітація дітей-інвалідів.</w:t>
      </w: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ab/>
      </w:r>
    </w:p>
    <w:p w:rsidR="00A83602" w:rsidRPr="00EC4618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Згідно з державною статистичною звітністю дитяча інвалідність має тенденцію до зростання. Головні причини інвалідності – органічні ураження нервової системи, хвороби сенсорних органів, психічні розлади, травми, вроджені вади розвитку. Протягом  багатьох років державна підтримка дітей з фізичними вадами зводилась до певного матеріального забезпечення (пенсійні виплати), надання медичних послуг (діагностика, лікування та початкова освіта у спеціалізованих закладах). Внаслідок обмежень у спілкуванні, самообслуговуванні, пересуванні, контролю за своєю поведінкою розвиток цих дітей значною мірою залежить від задоволення їх потреб іншими людьми, що складає багатогранний процес соціальної реабілітації. Тому реабілітаційні заходи стосовно дітей-інвалідів мають розширюватися за рахунок сфери соціально-побутової реабілітації, яка повинна починатись досить рано, щоб діти в ранньому віці могли максимально розвинути свої природні здібності і в подальшому своєчасно та найбільш повно інтегруватися в суспільство.</w:t>
      </w:r>
    </w:p>
    <w:p w:rsidR="00A83602" w:rsidRPr="00EC4618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Згідно зі статтею 23 Конвенції ООН про права дитини визначається право дитини-інваліда на особливе піклування, доступ до освіти, відновлення здоров’я, соціальне, культурне і духовне життя.</w:t>
      </w:r>
    </w:p>
    <w:p w:rsidR="00A83602" w:rsidRPr="00EC4618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Ці положення знайшли відображення у законодавстві України, зокрема Національній програмі «Діти України», де реабілітація хворих дітей-інвалідів розглядається як проблема національного значення, яка потребує першочергового розв’язання на теренах району.</w:t>
      </w:r>
    </w:p>
    <w:p w:rsidR="00A83602" w:rsidRPr="00EC4618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 Реабілітаційні заходи щодо дітей-інвалідів повинні розширюватися за рахунок розвитку сфери соціальної реабілітації, яка повинна починатися досить рано, щоб діти-інваліди в ранньому віці могли максимально розвинути свої природні здібності без відриву від сім’ї, в подальшому своєчасно та найбільш повно інтегруватися в суспільство.</w:t>
      </w:r>
    </w:p>
    <w:p w:rsidR="00A83602" w:rsidRPr="00EC4618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Враховуючи складність демографічної ситуації в Україні, стабільне зростання дитячої інвалідності і необхідність зміни цієї ситуації на краще, рання соціальна реабілітація дітей-інвалідів сприятиме усуненню або більш повній компенсації обмежень їх життєдіяльності, відновленню їх повноцінного соціального статусу, що в свою чергу сприятиме зменшенню соціальної напруженості у суспільстві та поліпшенню здоров’я нації.</w:t>
      </w:r>
    </w:p>
    <w:p w:rsidR="00A83602" w:rsidRPr="00EC4618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Підставами для розробки Програми є необхідність впровадження програмно-цільового методу складання та виконання місцевих бюджетів,  а також для вирішення актуальних сьогоденних і стратегічних фінансових завдань соціальної сфери в соціально-економічному розвитку міста, задоволенні освітніх запитів населення.</w:t>
      </w:r>
    </w:p>
    <w:p w:rsidR="00A83602" w:rsidRPr="00391509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Програма визначає концептуально головну мету і завдання, конкретизує шляхи, механізми, терміни  та перелік основних заходів з реалізації стратегічних завдань, їх виконавців, прогнозовані обсяги фінансового забезпечення виконання. Програма має відкритий характер і може доповнюватися (змінюватися) в установленому чинним законодавством порядку в разі, коли в період її виконання відбуватимуться суттєві зміни в законодавстві України, державній політиці, в реальній соціально-економічній ситуації в місті.</w:t>
      </w: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 xml:space="preserve"> </w:t>
      </w:r>
    </w:p>
    <w:p w:rsidR="00A83602" w:rsidRPr="00391509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 xml:space="preserve"> Програма </w:t>
      </w: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розроблена відповідно до Конституції України, Законів України «Про основи соціальної захищеності інвалідів в Україні»,  «Про реабілітацію інвалідів в Україні»,  «Про соціальні послуги», інших чинних нормативно – правових законодавчих актів.</w:t>
      </w:r>
    </w:p>
    <w:p w:rsidR="00A83602" w:rsidRPr="00EF2B55" w:rsidRDefault="00A83602" w:rsidP="002311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</w:pPr>
    </w:p>
    <w:p w:rsidR="00A83602" w:rsidRDefault="00A83602" w:rsidP="002311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  <w:t>3. Визначення мети Програми</w:t>
      </w:r>
    </w:p>
    <w:p w:rsidR="00A83602" w:rsidRPr="00391509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Метою цієї Програми є надання дітям-інвалідам можливості, незалежно від характеру і причин їх інвалідності, найбільшої участі в соціальному і економічному житті шляхом оволодіння ними певним обсягом знань, умінь і навичок, розвитку їхньої особистості в умовах спеціально організованого навчально-виховного процесу, органічно поєднаного з іншими формами реабілітації та інтеграції в суспільство, а також впровадження в Україні сучасної системи центрів ранньої соціальної реабілітації дітей-інвалідів.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 xml:space="preserve"> </w:t>
      </w:r>
    </w:p>
    <w:p w:rsidR="00A83602" w:rsidRPr="00391509" w:rsidRDefault="00A83602" w:rsidP="002311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  <w:t>4. Шляхи виконання Програми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 xml:space="preserve"> </w:t>
      </w:r>
      <w:r w:rsidRPr="002311BB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ab/>
      </w: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Соціальна реабілітація дітей-інвалідів – це система реабілітаційних та корекційно-відновлювальних заходів, які застосовуються для дітей-інвалідів з метою зменшення або подолання фізичних та інтелектуальних вад, набуття знань, умінь та навичок, які б дали змогу дитині-інваліду інтегруватись у дитячі колективи  і не перебувати в інтернатних установах або навчатися вдома. Зазначена система зорієнтована на дитину і поєднує соціальну, загальноосвітню, фізичну та технічну допомогу дітям-інвалідам та їх сім’ям.</w:t>
      </w:r>
    </w:p>
    <w:p w:rsidR="00A83602" w:rsidRPr="00391509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Спектр діяльності соціальної реабілітації дуже широкий і передбачає органічно поєднаний з іншими формами реабілітації комплексний підхід до дитини-інваліда. Це не тільки абілітація, адаптація та реабілітація, а й освіта, опанування певним обсягом знань, умінь та навичок, поступова інтеграція дитини в суспільство.</w:t>
      </w:r>
    </w:p>
    <w:p w:rsidR="00A83602" w:rsidRPr="00391509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Головною метою соціальної реабілітації дітей-інвалідів є організація збору, обробка і аналіз соціальної, економічної та спеціальної інформації щодо реабілітації, оздоровлення та лікування дітей-інвалідів. А також надання можливості:</w:t>
      </w:r>
    </w:p>
    <w:p w:rsidR="00A83602" w:rsidRPr="00391509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дітям-інвалідам – подолати труднощі розвитку, засвоїти побутові та соціальні навички, розвинути свої здібності, набути особистий досвід в оточуючому середовищі і досягти цього власними зусиллями; повністю або частково інтегруватись у соціальне життя суспільства; проживати разом із сім’єю;</w:t>
      </w:r>
    </w:p>
    <w:p w:rsidR="00A83602" w:rsidRPr="00391509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батькам – усвідомити суть проблем своїх дітей, оволодіти методикою виконання індивідуальних реабілітаційних програм, перетворитись на активного учасника реабілітаційного процесу і на цій основі досягти прогресу в подоланні вад дитиною в її інтеграції у дитячий колектив та суспільство.</w:t>
      </w:r>
    </w:p>
    <w:p w:rsidR="00A83602" w:rsidRPr="00391509" w:rsidRDefault="00A83602" w:rsidP="002311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Економічна доцільність системи соціальної реабілітації дітей-інвалідів базується на досягненні кращих результатів при значно менших фінансових затратах, основна частина яких (харчування, одяг, комунальні послуги, нагляд та інше) здійснюється сім’єю.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Реалізацію проекту програми соціальної реабілітації дітей-інвалідів на 2012-2016 роки планується здійснити за рахунок коштів міського  бюджету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 xml:space="preserve"> </w:t>
      </w:r>
    </w:p>
    <w:p w:rsidR="00A83602" w:rsidRPr="00391509" w:rsidRDefault="00A83602" w:rsidP="002311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  <w:t>5. Перелік завдань і заходів Програми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Основними завданнями програми є: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реалізація державної політики у сфері соціальної реабілітації дітей з обмеженими фізичними можливостями, сприяння їх широкій інтеграції у суспільство;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визнання необхідності реабілітації, оздоровлення, лікування, отримання освіти дітьми-інвалідами;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виявлення та відбір дітей-інвалідів, що потребують соціальної реабілітації, визначення їх потреб і надання соціально-психологічної підтримки та інших соціально-побутових послуг;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розробка індивідуальних реабілітаційних програм з урахуванням рівня можливостей та розвитку дітей;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проведення соціальної реабілітації дітей-інвалідів з безпосередньою їх участю та без відриву від сім’ї (залучення батьків, інших членів сім’ї дитини до участі в реабілітаційному процесі);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координація роботи у проведенні програм з реабілітації, лікування та оздоровлення дітей-інвалідів;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психологічна підтримка та правова допомога батькам, що мають дітей-інвалідів;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забезпечення інвалідів та їх батьків інформацією, а також дітей-інвалідів рівними можливостями у житті, побуті, відпочинку з усіма членами суспільства;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об’єднання батьків в групи самодопомоги.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Реалізація програми дасть змогу: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створити державну систему соціальної реабілітації дітей-інвалідів, яка зменшить прошарок соціально неадаптованих дітей, навчити їх самообслуговуванню та максимально залучити до суспільно-корисної праці;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забезпечити право кожної дитини-інваліда на отримання кваліфікаційної соціальної реабілітації;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272727"/>
          <w:sz w:val="24"/>
          <w:szCs w:val="24"/>
          <w:lang w:eastAsia="uk-UA"/>
        </w:rPr>
        <w:t xml:space="preserve">- своєчасно надати </w:t>
      </w: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 xml:space="preserve"> соціальну підтримку батькам, які мають дітей-інвалідів;</w:t>
      </w:r>
    </w:p>
    <w:p w:rsidR="00A83602" w:rsidRPr="00391509" w:rsidRDefault="00A83602" w:rsidP="002311B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- забезпечити єднання зусиль центральних і місцевих органів виконавчої влади, установ та організацій, спрямованих на соціальний захист дітей-інвалідів.</w:t>
      </w:r>
    </w:p>
    <w:p w:rsidR="00A83602" w:rsidRPr="0030381A" w:rsidRDefault="00A83602" w:rsidP="0030381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  <w:sectPr w:rsidR="00A83602" w:rsidRPr="0030381A" w:rsidSect="000E3BAA">
          <w:pgSz w:w="11906" w:h="16838"/>
          <w:pgMar w:top="850" w:right="850" w:bottom="850" w:left="1760" w:header="708" w:footer="708" w:gutter="0"/>
          <w:cols w:space="708"/>
          <w:docGrid w:linePitch="360"/>
        </w:sectPr>
      </w:pPr>
    </w:p>
    <w:p w:rsidR="00A83602" w:rsidRPr="00EC4618" w:rsidRDefault="00A83602" w:rsidP="0030381A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  <w:t>6. Фінансове забезпечення  Програми</w:t>
      </w:r>
    </w:p>
    <w:p w:rsidR="00A83602" w:rsidRPr="00EC4618" w:rsidRDefault="00A83602" w:rsidP="00391509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272727"/>
          <w:sz w:val="18"/>
          <w:szCs w:val="18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18"/>
          <w:szCs w:val="18"/>
          <w:lang w:eastAsia="uk-UA"/>
        </w:rPr>
        <w:t> </w:t>
      </w:r>
    </w:p>
    <w:tbl>
      <w:tblPr>
        <w:tblW w:w="0" w:type="auto"/>
        <w:tblCellSpacing w:w="0" w:type="dxa"/>
        <w:tblInd w:w="-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5007"/>
        <w:gridCol w:w="1842"/>
        <w:gridCol w:w="2977"/>
        <w:gridCol w:w="1602"/>
        <w:gridCol w:w="1774"/>
        <w:gridCol w:w="2052"/>
      </w:tblGrid>
      <w:tr w:rsidR="00A83602" w:rsidRPr="00DF6BD5">
        <w:trPr>
          <w:trHeight w:val="900"/>
          <w:tblCellSpacing w:w="0" w:type="dxa"/>
        </w:trPr>
        <w:tc>
          <w:tcPr>
            <w:tcW w:w="50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заходів програми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Строк виконання заходу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602" w:rsidRPr="00391509" w:rsidRDefault="00A83602" w:rsidP="00AE2132">
            <w:pPr>
              <w:spacing w:before="100" w:beforeAutospacing="1" w:after="100" w:afterAutospacing="1"/>
              <w:ind w:left="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0381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Орієнтовні обсяги фінансування, (тис. грн.)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A83602" w:rsidRPr="00DF6BD5">
        <w:trPr>
          <w:trHeight w:val="1485"/>
          <w:tblCellSpacing w:w="0" w:type="dxa"/>
        </w:trPr>
        <w:tc>
          <w:tcPr>
            <w:tcW w:w="50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 Виявлення та відбір дітей-інвалідів, що потребують соціальної реабілітації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uk-UA"/>
              </w:rPr>
              <w:t>7</w:t>
            </w: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4B33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 «Дім милосердя»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0381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Без залучення бюджетних коштів  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Забезпечити право кожної дитини-інваліда на отримання кваліфікованої соціальної реабілітації</w:t>
            </w:r>
          </w:p>
        </w:tc>
      </w:tr>
      <w:tr w:rsidR="00A83602" w:rsidRPr="00DF6BD5">
        <w:trPr>
          <w:trHeight w:val="1740"/>
          <w:tblCellSpacing w:w="0" w:type="dxa"/>
        </w:trPr>
        <w:tc>
          <w:tcPr>
            <w:tcW w:w="50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8E07C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канцелярським приладдям (</w:t>
            </w:r>
            <w:r w:rsidRPr="008E07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кольорові олівці, фломастери, розмальовки, кольоровий папір, кольоровий картон, клей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, розвиваючі іграшки</w:t>
            </w:r>
            <w:r w:rsidRPr="008E07C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тощо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…), для корекційних занять задля покращення дрібної моторики, розвитку мислення, подолання порушень психологічного, фізичного та сенсорного розвитку та інше. 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</w:t>
            </w:r>
            <w:r w:rsidRPr="008E07C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4B33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 «Дім милосердя»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F6BD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014CC9" w:rsidRDefault="00A83602" w:rsidP="008E07C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205B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Надання дітям-інвалідам комплексної соціальної, психологічної, педагогічної та інших видів реабілітації</w:t>
            </w:r>
          </w:p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83602" w:rsidRPr="00DF6BD5">
        <w:trPr>
          <w:trHeight w:val="1740"/>
          <w:tblCellSpacing w:w="0" w:type="dxa"/>
        </w:trPr>
        <w:tc>
          <w:tcPr>
            <w:tcW w:w="50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205B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засобами для гігієни та доглядом за дітьми з особливими потребами (</w:t>
            </w:r>
            <w:r w:rsidRPr="00875A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памперси, туалетний папір, вологі серветки тощо…).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uk-UA"/>
              </w:rPr>
              <w:t>7</w:t>
            </w: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4B33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 «Дім милосердя»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F6BD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014CC9" w:rsidRDefault="00A83602" w:rsidP="00205B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Своєчасне надання </w:t>
            </w: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соціальної допомоги інвалідам з дитинства,  батькам, які мають дітей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-</w:t>
            </w: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інвалідів</w:t>
            </w:r>
          </w:p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83602" w:rsidRPr="00EC4618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83602" w:rsidRPr="00DF6BD5">
        <w:trPr>
          <w:trHeight w:val="1740"/>
          <w:tblCellSpacing w:w="0" w:type="dxa"/>
        </w:trPr>
        <w:tc>
          <w:tcPr>
            <w:tcW w:w="50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875A20" w:rsidRDefault="00A83602" w:rsidP="00205B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4. Забезпечення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продуктами харчування довготер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мінового зберігання.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Default="00A83602" w:rsidP="00AE21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uk-UA"/>
              </w:rPr>
              <w:t>7</w:t>
            </w: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391509" w:rsidRDefault="00A83602" w:rsidP="004B33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 «Дім милосердя»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DF6BD5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6BD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014CC9" w:rsidRDefault="00A83602" w:rsidP="00205B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Pr="00EC4618" w:rsidRDefault="00A83602" w:rsidP="00875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Своєчасне надання </w:t>
            </w: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соціальної допомоги інвалідам з дитинства,  батькам, які мають дітей-інвалідів</w:t>
            </w:r>
          </w:p>
          <w:p w:rsidR="00A83602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83602" w:rsidRPr="00DF6BD5">
        <w:trPr>
          <w:trHeight w:val="1740"/>
          <w:tblCellSpacing w:w="0" w:type="dxa"/>
        </w:trPr>
        <w:tc>
          <w:tcPr>
            <w:tcW w:w="50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Default="00A83602" w:rsidP="00205B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4CC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5. Придбання мат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еріально-технічних засобів (меблі, побутова техніка, інші прилади та інвентар).</w:t>
            </w:r>
          </w:p>
          <w:p w:rsidR="00A83602" w:rsidRPr="00014CC9" w:rsidRDefault="00A83602" w:rsidP="00205B7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Default="00A83602" w:rsidP="00AE213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uk-UA"/>
              </w:rPr>
              <w:t>7</w:t>
            </w: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391509" w:rsidRDefault="00A83602" w:rsidP="004B33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150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БО «Дім милосердя»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DF6BD5" w:rsidRDefault="00A83602" w:rsidP="00AE21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6BD5">
              <w:rPr>
                <w:rFonts w:ascii="Times New Roman" w:hAnsi="Times New Roman" w:cs="Times New Roman"/>
                <w:sz w:val="24"/>
                <w:szCs w:val="24"/>
              </w:rPr>
              <w:t>Місцевий  бюджет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3602" w:rsidRPr="00014CC9" w:rsidRDefault="00A83602" w:rsidP="00205B7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3602" w:rsidRDefault="00A83602" w:rsidP="00875A2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461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Забезпечити право кожної дитини-інваліда на отримання кваліфікованої соціальної реабілітації</w:t>
            </w:r>
          </w:p>
        </w:tc>
      </w:tr>
    </w:tbl>
    <w:p w:rsidR="00A83602" w:rsidRPr="00EC4618" w:rsidRDefault="00A83602" w:rsidP="00A134C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272727"/>
          <w:sz w:val="18"/>
          <w:szCs w:val="18"/>
          <w:lang w:eastAsia="uk-UA"/>
        </w:rPr>
      </w:pPr>
      <w:r w:rsidRPr="00391509">
        <w:rPr>
          <w:rFonts w:ascii="Times New Roman" w:hAnsi="Times New Roman" w:cs="Times New Roman"/>
          <w:b/>
          <w:bCs/>
          <w:color w:val="272727"/>
          <w:sz w:val="24"/>
          <w:szCs w:val="24"/>
          <w:lang w:eastAsia="uk-UA"/>
        </w:rPr>
        <w:t>7. Координація та контроль за  ходом виконання Програми</w:t>
      </w:r>
    </w:p>
    <w:p w:rsidR="00A83602" w:rsidRPr="00EC4618" w:rsidRDefault="00A83602" w:rsidP="0039150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 xml:space="preserve"> Координація та контроль за ходом виконання заходів, передбачених Програмою, покладається на </w:t>
      </w:r>
      <w:r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Центр соціальних служб для дітей, сім’ї та молоді міської ради</w:t>
      </w: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.</w:t>
      </w:r>
      <w:r>
        <w:rPr>
          <w:rFonts w:ascii="Times New Roman" w:hAnsi="Times New Roman" w:cs="Times New Roman"/>
          <w:color w:val="272727"/>
          <w:sz w:val="24"/>
          <w:szCs w:val="24"/>
          <w:lang w:eastAsia="uk-UA"/>
        </w:rPr>
        <w:t xml:space="preserve"> </w:t>
      </w:r>
      <w:r w:rsidRPr="00EC4618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чинним законодавством України та рішеннями міської ради.</w:t>
      </w:r>
    </w:p>
    <w:p w:rsidR="00A83602" w:rsidRPr="00EC4618" w:rsidRDefault="00A83602" w:rsidP="00391509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72727"/>
          <w:sz w:val="18"/>
          <w:szCs w:val="18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18"/>
          <w:szCs w:val="18"/>
          <w:lang w:eastAsia="uk-UA"/>
        </w:rPr>
        <w:t> </w:t>
      </w:r>
    </w:p>
    <w:p w:rsidR="00A83602" w:rsidRDefault="00A83602" w:rsidP="00216ED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72727"/>
          <w:sz w:val="18"/>
          <w:szCs w:val="18"/>
          <w:lang w:eastAsia="uk-UA"/>
        </w:rPr>
      </w:pPr>
      <w:r w:rsidRPr="00EC4618">
        <w:rPr>
          <w:rFonts w:ascii="Times New Roman" w:hAnsi="Times New Roman" w:cs="Times New Roman"/>
          <w:color w:val="272727"/>
          <w:sz w:val="18"/>
          <w:szCs w:val="18"/>
          <w:lang w:eastAsia="uk-UA"/>
        </w:rPr>
        <w:t> </w:t>
      </w:r>
      <w:r w:rsidRPr="00A134C1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                                                                                                                                                  Я.П. ДЗИНДРА</w:t>
      </w:r>
    </w:p>
    <w:p w:rsidR="00A83602" w:rsidRPr="00216ED4" w:rsidRDefault="00A83602" w:rsidP="00216ED4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272727"/>
          <w:sz w:val="18"/>
          <w:szCs w:val="18"/>
          <w:lang w:eastAsia="uk-UA"/>
        </w:rPr>
      </w:pPr>
    </w:p>
    <w:p w:rsidR="00A83602" w:rsidRPr="00391509" w:rsidRDefault="00A83602" w:rsidP="00155CBC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 xml:space="preserve"> </w:t>
      </w:r>
    </w:p>
    <w:p w:rsidR="00A83602" w:rsidRPr="00391509" w:rsidRDefault="00A83602" w:rsidP="00155CBC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  <w:r w:rsidRPr="00391509">
        <w:rPr>
          <w:rFonts w:ascii="Times New Roman" w:hAnsi="Times New Roman" w:cs="Times New Roman"/>
          <w:color w:val="272727"/>
          <w:sz w:val="24"/>
          <w:szCs w:val="24"/>
          <w:lang w:eastAsia="uk-UA"/>
        </w:rPr>
        <w:t xml:space="preserve"> </w:t>
      </w:r>
    </w:p>
    <w:p w:rsidR="00A83602" w:rsidRPr="00EC4618" w:rsidRDefault="00A83602" w:rsidP="00155CBC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72727"/>
          <w:sz w:val="24"/>
          <w:szCs w:val="24"/>
          <w:lang w:eastAsia="uk-UA"/>
        </w:rPr>
      </w:pPr>
    </w:p>
    <w:p w:rsidR="00A83602" w:rsidRPr="00391509" w:rsidRDefault="00A83602" w:rsidP="00155CBC">
      <w:pPr>
        <w:rPr>
          <w:rFonts w:ascii="Times New Roman" w:hAnsi="Times New Roman" w:cs="Times New Roman"/>
          <w:sz w:val="24"/>
          <w:szCs w:val="24"/>
        </w:rPr>
      </w:pPr>
    </w:p>
    <w:sectPr w:rsidR="00A83602" w:rsidRPr="00391509" w:rsidSect="004B33D2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4F6"/>
    <w:multiLevelType w:val="hybridMultilevel"/>
    <w:tmpl w:val="3E84B6C2"/>
    <w:lvl w:ilvl="0" w:tplc="703651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0273760"/>
    <w:multiLevelType w:val="hybridMultilevel"/>
    <w:tmpl w:val="8FBCCD16"/>
    <w:lvl w:ilvl="0" w:tplc="FB1E31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D971AD"/>
    <w:multiLevelType w:val="hybridMultilevel"/>
    <w:tmpl w:val="B0A2B87C"/>
    <w:lvl w:ilvl="0" w:tplc="E7064E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956"/>
    <w:rsid w:val="00014CC9"/>
    <w:rsid w:val="000E3BAA"/>
    <w:rsid w:val="00102E3A"/>
    <w:rsid w:val="00122451"/>
    <w:rsid w:val="00155CBC"/>
    <w:rsid w:val="001718AF"/>
    <w:rsid w:val="001A14F9"/>
    <w:rsid w:val="001F447E"/>
    <w:rsid w:val="00205B73"/>
    <w:rsid w:val="00207C57"/>
    <w:rsid w:val="00213774"/>
    <w:rsid w:val="00216ED4"/>
    <w:rsid w:val="002248D0"/>
    <w:rsid w:val="002311BB"/>
    <w:rsid w:val="002B2525"/>
    <w:rsid w:val="0030381A"/>
    <w:rsid w:val="00341533"/>
    <w:rsid w:val="0034612F"/>
    <w:rsid w:val="00391509"/>
    <w:rsid w:val="003D33CA"/>
    <w:rsid w:val="00441C07"/>
    <w:rsid w:val="004B33D2"/>
    <w:rsid w:val="00542965"/>
    <w:rsid w:val="00586956"/>
    <w:rsid w:val="005B16CE"/>
    <w:rsid w:val="005D296C"/>
    <w:rsid w:val="006566F0"/>
    <w:rsid w:val="007870CB"/>
    <w:rsid w:val="007D3BC8"/>
    <w:rsid w:val="00805460"/>
    <w:rsid w:val="00862817"/>
    <w:rsid w:val="00875A20"/>
    <w:rsid w:val="0088651D"/>
    <w:rsid w:val="008E07C4"/>
    <w:rsid w:val="00913D43"/>
    <w:rsid w:val="00943CBF"/>
    <w:rsid w:val="009557BB"/>
    <w:rsid w:val="009C7035"/>
    <w:rsid w:val="009F7A8D"/>
    <w:rsid w:val="00A04696"/>
    <w:rsid w:val="00A134C1"/>
    <w:rsid w:val="00A20368"/>
    <w:rsid w:val="00A80082"/>
    <w:rsid w:val="00A83602"/>
    <w:rsid w:val="00A8445A"/>
    <w:rsid w:val="00AA6386"/>
    <w:rsid w:val="00AD1B68"/>
    <w:rsid w:val="00AE2132"/>
    <w:rsid w:val="00BB384E"/>
    <w:rsid w:val="00BD4853"/>
    <w:rsid w:val="00C551DE"/>
    <w:rsid w:val="00C71B4C"/>
    <w:rsid w:val="00CE03D2"/>
    <w:rsid w:val="00D31C67"/>
    <w:rsid w:val="00D40052"/>
    <w:rsid w:val="00DF137D"/>
    <w:rsid w:val="00DF6BD5"/>
    <w:rsid w:val="00E05FFD"/>
    <w:rsid w:val="00E11476"/>
    <w:rsid w:val="00E53C72"/>
    <w:rsid w:val="00E8602C"/>
    <w:rsid w:val="00E97791"/>
    <w:rsid w:val="00EA391F"/>
    <w:rsid w:val="00EC4618"/>
    <w:rsid w:val="00ED1F9E"/>
    <w:rsid w:val="00EF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56"/>
    <w:pPr>
      <w:spacing w:after="200"/>
    </w:pPr>
    <w:rPr>
      <w:rFonts w:cs="Calibri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6956"/>
    <w:pPr>
      <w:ind w:left="720"/>
    </w:pPr>
  </w:style>
  <w:style w:type="paragraph" w:customStyle="1" w:styleId="FR1">
    <w:name w:val="FR1"/>
    <w:uiPriority w:val="99"/>
    <w:rsid w:val="009F7A8D"/>
    <w:pPr>
      <w:widowControl w:val="0"/>
      <w:suppressAutoHyphens/>
      <w:autoSpaceDE w:val="0"/>
      <w:spacing w:line="300" w:lineRule="auto"/>
      <w:ind w:left="2080" w:right="2000"/>
      <w:jc w:val="both"/>
    </w:pPr>
    <w:rPr>
      <w:rFonts w:ascii="Times New Roman" w:eastAsia="Times New Roman" w:hAnsi="Times New Roman"/>
      <w:sz w:val="28"/>
      <w:szCs w:val="2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1657</Words>
  <Characters>9447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user</cp:lastModifiedBy>
  <cp:revision>4</cp:revision>
  <cp:lastPrinted>2017-02-14T15:43:00Z</cp:lastPrinted>
  <dcterms:created xsi:type="dcterms:W3CDTF">2017-02-15T13:47:00Z</dcterms:created>
  <dcterms:modified xsi:type="dcterms:W3CDTF">2017-02-17T06:55:00Z</dcterms:modified>
</cp:coreProperties>
</file>