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07" w:rsidRPr="00AB5271" w:rsidRDefault="00127C07" w:rsidP="00C554BB">
      <w:pPr>
        <w:tabs>
          <w:tab w:val="left" w:pos="3555"/>
        </w:tabs>
        <w:ind w:right="-5"/>
        <w:rPr>
          <w:rFonts w:ascii="Times New Roman" w:hAnsi="Times New Roman" w:cs="Times New Roman"/>
          <w:b/>
          <w:bCs/>
          <w:sz w:val="24"/>
          <w:szCs w:val="24"/>
        </w:rPr>
      </w:pPr>
      <w:r>
        <w:rPr>
          <w:rFonts w:ascii="Times New Roman" w:hAnsi="Times New Roman" w:cs="Times New Roman"/>
          <w:sz w:val="28"/>
          <w:szCs w:val="28"/>
        </w:rPr>
        <w:t xml:space="preserve">                                                                          </w:t>
      </w:r>
      <w:r w:rsidRPr="00AB5271">
        <w:rPr>
          <w:rFonts w:ascii="Times New Roman" w:hAnsi="Times New Roman" w:cs="Times New Roman"/>
          <w:b/>
          <w:bCs/>
          <w:sz w:val="24"/>
          <w:szCs w:val="24"/>
        </w:rPr>
        <w:t xml:space="preserve">Додаток № 1 </w:t>
      </w:r>
    </w:p>
    <w:p w:rsidR="00127C07" w:rsidRPr="00AB5271" w:rsidRDefault="00127C07" w:rsidP="00C554BB">
      <w:pPr>
        <w:tabs>
          <w:tab w:val="left" w:pos="3555"/>
        </w:tabs>
        <w:ind w:left="4140" w:right="-5" w:hanging="5812"/>
        <w:rPr>
          <w:rFonts w:ascii="Times New Roman" w:hAnsi="Times New Roman" w:cs="Times New Roman"/>
          <w:b/>
          <w:bCs/>
          <w:sz w:val="24"/>
          <w:szCs w:val="24"/>
        </w:rPr>
      </w:pPr>
      <w:r w:rsidRPr="00AB5271">
        <w:rPr>
          <w:rFonts w:ascii="Times New Roman" w:hAnsi="Times New Roman" w:cs="Times New Roman"/>
          <w:b/>
          <w:bCs/>
          <w:sz w:val="24"/>
          <w:szCs w:val="24"/>
        </w:rPr>
        <w:t xml:space="preserve">                                                                                                                  до рішення вісімнадцятої сесії       </w:t>
      </w:r>
      <w:r w:rsidRPr="00AB5271">
        <w:rPr>
          <w:rFonts w:ascii="Times New Roman" w:hAnsi="Times New Roman" w:cs="Times New Roman"/>
          <w:b/>
          <w:bCs/>
          <w:sz w:val="24"/>
          <w:szCs w:val="24"/>
        </w:rPr>
        <w:br/>
        <w:t xml:space="preserve">                  міської ради сьомого скликання</w:t>
      </w:r>
    </w:p>
    <w:p w:rsidR="00127C07" w:rsidRPr="00AB5271" w:rsidRDefault="00127C07" w:rsidP="00C554BB">
      <w:pPr>
        <w:tabs>
          <w:tab w:val="left" w:pos="3555"/>
        </w:tabs>
        <w:ind w:right="-5"/>
        <w:rPr>
          <w:rFonts w:ascii="Times New Roman" w:hAnsi="Times New Roman" w:cs="Times New Roman"/>
          <w:b/>
          <w:bCs/>
          <w:sz w:val="24"/>
          <w:szCs w:val="24"/>
        </w:rPr>
      </w:pPr>
      <w:r w:rsidRPr="00AB5271">
        <w:rPr>
          <w:rFonts w:ascii="Times New Roman" w:hAnsi="Times New Roman" w:cs="Times New Roman"/>
          <w:b/>
          <w:bCs/>
          <w:sz w:val="24"/>
          <w:szCs w:val="24"/>
        </w:rPr>
        <w:t xml:space="preserve">                                                                                       від 10 лютого 2017 року № 541 </w:t>
      </w:r>
    </w:p>
    <w:p w:rsidR="00127C07" w:rsidRPr="00AB5271" w:rsidRDefault="00127C07" w:rsidP="00C554BB">
      <w:pPr>
        <w:ind w:left="360"/>
        <w:jc w:val="both"/>
        <w:rPr>
          <w:rFonts w:ascii="Times New Roman" w:hAnsi="Times New Roman" w:cs="Times New Roman"/>
          <w:sz w:val="24"/>
          <w:szCs w:val="24"/>
        </w:rPr>
      </w:pPr>
      <w:r w:rsidRPr="00AB5271">
        <w:rPr>
          <w:sz w:val="24"/>
          <w:szCs w:val="24"/>
        </w:rPr>
        <w:tab/>
      </w:r>
    </w:p>
    <w:p w:rsidR="00127C07" w:rsidRPr="00AB5271" w:rsidRDefault="00127C07" w:rsidP="005E6CEF">
      <w:pPr>
        <w:pStyle w:val="NormalWeb"/>
        <w:shd w:val="clear" w:color="auto" w:fill="FFFFFF"/>
        <w:spacing w:before="0" w:beforeAutospacing="0" w:after="0" w:afterAutospacing="0" w:line="221" w:lineRule="atLeast"/>
        <w:ind w:firstLine="709"/>
        <w:jc w:val="center"/>
        <w:rPr>
          <w:rFonts w:ascii="Times New Roman" w:hAnsi="Times New Roman" w:cs="Times New Roman"/>
          <w:color w:val="000000"/>
        </w:rPr>
      </w:pPr>
      <w:r w:rsidRPr="00AB5271">
        <w:rPr>
          <w:rStyle w:val="Strong"/>
          <w:rFonts w:ascii="Times New Roman" w:hAnsi="Times New Roman"/>
          <w:color w:val="000000"/>
          <w:bdr w:val="none" w:sz="0" w:space="0" w:color="auto" w:frame="1"/>
        </w:rPr>
        <w:t>Порядок</w:t>
      </w:r>
    </w:p>
    <w:p w:rsidR="00127C07" w:rsidRPr="00AB5271" w:rsidRDefault="00127C07" w:rsidP="005E6CEF">
      <w:pPr>
        <w:pStyle w:val="NormalWeb"/>
        <w:shd w:val="clear" w:color="auto" w:fill="FFFFFF"/>
        <w:spacing w:before="0" w:beforeAutospacing="0" w:after="0" w:afterAutospacing="0" w:line="221" w:lineRule="atLeast"/>
        <w:ind w:firstLine="709"/>
        <w:jc w:val="center"/>
        <w:rPr>
          <w:rFonts w:ascii="Times New Roman" w:hAnsi="Times New Roman" w:cs="Times New Roman"/>
          <w:color w:val="000000"/>
        </w:rPr>
      </w:pPr>
      <w:r w:rsidRPr="00AB5271">
        <w:rPr>
          <w:rStyle w:val="Strong"/>
          <w:rFonts w:ascii="Times New Roman" w:hAnsi="Times New Roman"/>
          <w:color w:val="000000"/>
          <w:bdr w:val="none" w:sz="0" w:space="0" w:color="auto" w:frame="1"/>
        </w:rPr>
        <w:t>розміщення тимчасово вільних коштів міського бюджету на депозитному рахунку</w:t>
      </w: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 Розміщення тимчасово вільних коштів міського бюджету на депозитному рахунку здійснюється згідно з Бюджетним кодексом України, постановою Кабінету Міністрів України від 12.01.2011р. № 6 «Про затвердження Порядку розміщення тимчасово вільних коштів місцевих бюджетів на вкладних (депозитних) рахунках у банках».</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2. Цей Порядок визначає механізм  розміщення тимчасово вільних коштів міського бюджету на депозитному рахунку.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3. Тимчасово вільні кошти міського бюджету визначаються фінансовим управлінням міської ради відповідно до залишків коштів на рахунках загального та спеціального фондів міського бюджету на дату їх розміщення  на депозитних рахунках і відволікання яких не призведе до втрати платоспроможності міського бюджету та виникнення заборгованості за відповідним фондом протягом періоду, на який передбачається здійснити розміщення таких коштів на депозитних рахунках у банках.</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4. Умовами розміщення тимчасово вільних коштів на вкладних (депозитних) рахунках є:</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4.1. прийняття відповідного рішення Чортківською  міською радою;</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4.2.  укладення договору банківського вкладу (депозиту) між фінансовим управлінням Чортківської міської ради та банком;</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4.3. визначення у договорі банківського вкладу (депозиту) обов'язкових умов щодо права вкладника на повернення вкладу (депозиту) або його частини на першу вимогу вкладника та щодо заборони безспірного списання банком коштів із вкладного (депозитного) рахунку, а також відповідальності банку в разі неповернення чи несвоєчасного повернення коштів із вкладних (депозитних) рахунків на відповідні рахунки міського бюджету в органах Державної казначейської служби, з яких перераховувалися тимчасово вільні кошти для розміщення на вкладних (депозитних) рахунках;</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4.4. відсутність на дату розміщення тимчасово вільних коштів простроченої кредиторської заборгованості за відповідним фондом міського бюджету, крім тієї, що виникла внаслідок недоотримання коштів субвенцій з державного бюджету та бюджетів інших рівнів;</w:t>
      </w:r>
    </w:p>
    <w:p w:rsidR="00127C07" w:rsidRPr="00AB5271" w:rsidRDefault="00127C07" w:rsidP="0043061E">
      <w:pPr>
        <w:pStyle w:val="rvps2"/>
        <w:shd w:val="clear" w:color="auto" w:fill="FFFFFF"/>
        <w:spacing w:before="0" w:beforeAutospacing="0" w:after="0" w:afterAutospacing="0"/>
        <w:ind w:firstLine="450"/>
        <w:jc w:val="both"/>
        <w:textAlignment w:val="baseline"/>
        <w:rPr>
          <w:rFonts w:ascii="Times New Roman" w:hAnsi="Times New Roman" w:cs="Times New Roman"/>
          <w:color w:val="000000"/>
        </w:rPr>
      </w:pPr>
    </w:p>
    <w:p w:rsidR="00127C07" w:rsidRPr="00AB5271" w:rsidRDefault="00127C07" w:rsidP="0043061E">
      <w:pPr>
        <w:pStyle w:val="rvps2"/>
        <w:shd w:val="clear" w:color="auto" w:fill="FFFFFF"/>
        <w:spacing w:before="0" w:beforeAutospacing="0" w:after="0" w:afterAutospacing="0"/>
        <w:ind w:firstLine="450"/>
        <w:jc w:val="both"/>
        <w:textAlignment w:val="baseline"/>
        <w:rPr>
          <w:rFonts w:ascii="Times New Roman" w:hAnsi="Times New Roman" w:cs="Times New Roman"/>
          <w:color w:val="000000"/>
        </w:rPr>
      </w:pPr>
      <w:r w:rsidRPr="00AB5271">
        <w:rPr>
          <w:rFonts w:ascii="Times New Roman" w:hAnsi="Times New Roman" w:cs="Times New Roman"/>
          <w:color w:val="000000"/>
        </w:rPr>
        <w:t>4.5. розміщення на конкурсних засадах тимчасово вільних коштів у банках, у яких держава прямо та/або опосередковано володіє 75 чи більше відсотками статутного капіталу та/або голосів та 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5. Тимчасово вільні кошти можуть розміщуватися на вкладних (депозитних) рахунках у банках лише у межах поточного бюджетного періоду та повинні бути повернені на рахунки бюджету, з яких вони перераховувалися, не пізніше ніж за 10 днів до закінчення такого бюджетного періоду.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6. Розмір процентних ставок за користування банками тимчасово вільними коштами визначається на договірних засадах з урахуванням вимог законодавства, зокрема нормативно-правових актів Національного банку, що регулюють питання здійснення банками вкладних (депозитних) операцій з юридичними і фізичними особами.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7.  Для розміщення тимчасово вільних коштів на депозитному рахунку в установах банку фінансове управління Чортківської міської ради формує заявку-пропозицію, в якій визначає обсяг коштів для розміщення, умови за вкладом, адресу та дату прийняття пропозиції банку (не більш як п’ять робочих днів з дня відправлення), а також дату розгляду, і надсилає її до банків.</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8. Для проведення конкурсу утворюється комісія у складі не менш як п'ять осіб. Склад затверджується з визначенням голови комісії рішенням сесії Чортківської міської ради.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До складу конкурсної комісії входять представники фінансового органу міської ради, органу Державної казначейської служби та депутати міської ради.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9. Для участі в конкурсі банк-претендент або філія повинні подати комісії наступні документи: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9.1. заяву на участь у конкурсі;</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9.2. довіреність на ім’я особи, яка представлятиме інтереси банку-претендента під час проведення конкурсу;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9.3. конкурсну пропозицію, суттєвими умовами якої є</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річна процентна ставка по депозиту;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порядок зміни річної процентної ставки;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порядок повернення до міського бюджету коштів з депозитного рахунку та порядок розміщення на ньому додаткових коштів;</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розмір незнижувального залишку коштів на рахунку.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Конкурсна пропозиція надається банком з одночасним наданням проекту договору.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9.4. довідку Національного банку України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про дотримання банком в попередньому  році економічних нормативів та формування обов’язкових резервів на кореспондентському рахунку в Національному банку України;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про розмір статутного капіталу станом на 01 січня поточного року банку, який приймає участь у конкурсі;</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щодо не застосування протягом останнього року до банку заходів впливу згідно з вимогами нормативно-правових актів Національного банку;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щодо своєчасного виконання банком в попередньому році зобов’язань перед клієнтами.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10. Банк-претендент або його філія подає документи у конверті , на якому зазначається назва претендента та його адреса, найменування конкурсу, з поміткою «заява на участь у конкурсі». Зворотна сторона конверта скріплюється печаткою банку.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xml:space="preserve">11. Засідання конкурсної комісії проводиться протягом п’яти робочих днів з дати закінчення подання пропозицій установами банків, на якому розкриваються конверти з конкурсною документацією та дається оцінка конкурсним пропозиціям. При розгляді пропозиції, Комісія, в першу чергу, бере до уваги запропоновану річну процентну ставку. </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Переможцем визначається претендент, який відповідає вимогам цього Порядку та який запропонує найбільш вигідні умови розміщення тимчасово вільних коштів бюджету міста (найвищу відсоткову ставку за депозитом та сприятливі умови договору).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У разі, коли інформація та документи, що містяться у конкурсній документації, є недостатніми для прийняття рішення про визначення переможців, конкурсна комісія має право звертатися до банків-претендентів за роз’ясненнями та наданням додаткової інформації та документів стосовно виконання конкурсного завдання. При цьому термін подання додаткової інформації не може перевищувати 5 робочих днів з дня відкриття конвертів з конкурсною документацією.</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Конкурс визнається таким, що не відбувся, коли:</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до закінчення терміну надання пропозицій не надійшло ні однієї пропозиції;</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жодна з наданих пропозицій не відповідає умовам конкурсу.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Протягом 3 робочих днів (до моменту прийняття рішення Комісією) банк-претендент може покращити свою конкурсну пропозицію, про що письмово повідомляє Комісію.</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12. Рішення про результати конкурсу приймається Комісією на закритому засіданні у присутності не менше дві третини її складу відкритим голосуванням простою більшістю голосів. У разі рівного розподілу голосів вирішальним є голос голови Комісії.</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13. Рішення Комісії оформляється протоколом, який підписується всіма її членами, які брали участь у голосуванні. У разі незгоди члена комісії з її рішенням він може письмово викласти свою позицію, яка додається до протоколу засідання комісії. Витяг з протоколу з результатами конкурсу надсилається всім учасникам конкурсу.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14. На підставі рішення конкурсної комісії фінансове управління укладає з банком договір банківського вкладу (депозиту).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У разі, коли банк, що визнаний переможцем, відмовляється від укладення договору банківського депозиту, конкурсна комісія має право визначити інший банк, розглянувши протягом трьох робочих днів подані пропозиції повторно.</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xml:space="preserve">15. Істотними умовами при укладені договору банківського  депозиту між фінансовим управлінням і банком є:     </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15.1. Права вкладника на повернення депозиту або його частини на першу вимогу вкладника відповідно до потреби у фінансуванні видатків.</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15.2. Заборона безспірного списання банком коштів із депозитного рахунку міського бюджету.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15.3. Відповідальність банку в разі неповернення чи несвоєчасного повернення коштів із депозитних рахунків на відповідні рахунки міського бюджету, відкриті в органах Державної казначейської служби, з яких перераховувалися тимчасово вільні кошти для розміщення на депозитних рахунках.</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16. Кошти (відсотки), одержані від розміщення частки залишку коштів на депозитному рахунку, зараховуються до доходів загального фонду міського бюджету.</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w:t>
      </w:r>
    </w:p>
    <w:p w:rsidR="00127C07" w:rsidRPr="00AB5271" w:rsidRDefault="00127C07" w:rsidP="0043061E">
      <w:pPr>
        <w:pStyle w:val="NormalWeb"/>
        <w:shd w:val="clear" w:color="auto" w:fill="FFFFFF"/>
        <w:spacing w:before="0" w:beforeAutospacing="0" w:after="0" w:afterAutospacing="0" w:line="221" w:lineRule="atLeast"/>
        <w:ind w:firstLine="709"/>
        <w:jc w:val="both"/>
        <w:rPr>
          <w:rFonts w:ascii="Times New Roman" w:hAnsi="Times New Roman" w:cs="Times New Roman"/>
          <w:color w:val="000000"/>
        </w:rPr>
      </w:pPr>
    </w:p>
    <w:p w:rsidR="00127C07" w:rsidRPr="00AB5271" w:rsidRDefault="00127C07" w:rsidP="00C554BB">
      <w:pPr>
        <w:pStyle w:val="NormalWeb"/>
        <w:shd w:val="clear" w:color="auto" w:fill="FFFFFF"/>
        <w:spacing w:before="0" w:beforeAutospacing="0" w:after="0" w:afterAutospacing="0" w:line="221" w:lineRule="atLeast"/>
        <w:jc w:val="both"/>
        <w:rPr>
          <w:rFonts w:ascii="Times New Roman" w:hAnsi="Times New Roman" w:cs="Times New Roman"/>
          <w:b/>
          <w:bCs/>
          <w:color w:val="000000"/>
        </w:rPr>
      </w:pPr>
      <w:r w:rsidRPr="00AB5271">
        <w:rPr>
          <w:rFonts w:ascii="Times New Roman" w:hAnsi="Times New Roman" w:cs="Times New Roman"/>
          <w:b/>
          <w:bCs/>
          <w:color w:val="000000"/>
        </w:rPr>
        <w:t>Секретар міської ради                                                                  Я.П. Дзиндра</w:t>
      </w: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p w:rsidR="00127C07" w:rsidRPr="00AB5271" w:rsidRDefault="00127C07" w:rsidP="00C554BB">
      <w:pPr>
        <w:tabs>
          <w:tab w:val="left" w:pos="3555"/>
        </w:tabs>
        <w:ind w:right="-5"/>
        <w:rPr>
          <w:rFonts w:ascii="Times New Roman" w:hAnsi="Times New Roman" w:cs="Times New Roman"/>
          <w:b/>
          <w:bCs/>
          <w:sz w:val="24"/>
          <w:szCs w:val="24"/>
        </w:rPr>
      </w:pPr>
      <w:r w:rsidRPr="00AB5271">
        <w:rPr>
          <w:rFonts w:ascii="Times New Roman" w:hAnsi="Times New Roman" w:cs="Times New Roman"/>
          <w:b/>
          <w:bCs/>
          <w:sz w:val="24"/>
          <w:szCs w:val="24"/>
        </w:rPr>
        <w:t xml:space="preserve">                  </w:t>
      </w:r>
      <w:r w:rsidRPr="00AB5271">
        <w:rPr>
          <w:rFonts w:ascii="Times New Roman" w:hAnsi="Times New Roman" w:cs="Times New Roman"/>
          <w:b/>
          <w:bCs/>
          <w:sz w:val="24"/>
          <w:szCs w:val="24"/>
        </w:rPr>
        <w:tab/>
      </w:r>
      <w:r w:rsidRPr="00AB5271">
        <w:rPr>
          <w:rFonts w:ascii="Times New Roman" w:hAnsi="Times New Roman" w:cs="Times New Roman"/>
          <w:b/>
          <w:bCs/>
          <w:sz w:val="24"/>
          <w:szCs w:val="24"/>
        </w:rPr>
        <w:tab/>
      </w:r>
      <w:r w:rsidRPr="00AB5271">
        <w:rPr>
          <w:rFonts w:ascii="Times New Roman" w:hAnsi="Times New Roman" w:cs="Times New Roman"/>
          <w:b/>
          <w:bCs/>
          <w:sz w:val="24"/>
          <w:szCs w:val="24"/>
        </w:rPr>
        <w:tab/>
        <w:t xml:space="preserve">      Додаток № 2 </w:t>
      </w:r>
    </w:p>
    <w:p w:rsidR="00127C07" w:rsidRPr="00AB5271" w:rsidRDefault="00127C07" w:rsidP="00C554BB">
      <w:pPr>
        <w:tabs>
          <w:tab w:val="left" w:pos="3555"/>
        </w:tabs>
        <w:ind w:left="4140" w:right="-5" w:hanging="5812"/>
        <w:rPr>
          <w:rFonts w:ascii="Times New Roman" w:hAnsi="Times New Roman" w:cs="Times New Roman"/>
          <w:b/>
          <w:bCs/>
          <w:sz w:val="24"/>
          <w:szCs w:val="24"/>
        </w:rPr>
      </w:pPr>
      <w:r w:rsidRPr="00AB5271">
        <w:rPr>
          <w:rFonts w:ascii="Times New Roman" w:hAnsi="Times New Roman" w:cs="Times New Roman"/>
          <w:b/>
          <w:bCs/>
          <w:sz w:val="24"/>
          <w:szCs w:val="24"/>
        </w:rPr>
        <w:t xml:space="preserve">                                                                                                    до рішення вісімнадцятої сесії       </w:t>
      </w:r>
      <w:r w:rsidRPr="00AB5271">
        <w:rPr>
          <w:rFonts w:ascii="Times New Roman" w:hAnsi="Times New Roman" w:cs="Times New Roman"/>
          <w:b/>
          <w:bCs/>
          <w:sz w:val="24"/>
          <w:szCs w:val="24"/>
        </w:rPr>
        <w:br/>
        <w:t xml:space="preserve">                 міської ради сьомого скликання</w:t>
      </w:r>
    </w:p>
    <w:p w:rsidR="00127C07" w:rsidRPr="00AB5271" w:rsidRDefault="00127C07" w:rsidP="00C554BB">
      <w:pPr>
        <w:tabs>
          <w:tab w:val="left" w:pos="3555"/>
        </w:tabs>
        <w:ind w:right="-5"/>
        <w:rPr>
          <w:rFonts w:ascii="Times New Roman" w:hAnsi="Times New Roman" w:cs="Times New Roman"/>
          <w:b/>
          <w:bCs/>
          <w:sz w:val="24"/>
          <w:szCs w:val="24"/>
        </w:rPr>
      </w:pPr>
      <w:r w:rsidRPr="00AB5271">
        <w:rPr>
          <w:rFonts w:ascii="Times New Roman" w:hAnsi="Times New Roman" w:cs="Times New Roman"/>
          <w:b/>
          <w:bCs/>
          <w:sz w:val="24"/>
          <w:szCs w:val="24"/>
        </w:rPr>
        <w:t xml:space="preserve">                                                                            від 10 лютого 2017 року № 541 </w:t>
      </w:r>
    </w:p>
    <w:p w:rsidR="00127C07" w:rsidRPr="00AB5271" w:rsidRDefault="00127C07" w:rsidP="00C554BB">
      <w:pPr>
        <w:pStyle w:val="NormalWeb"/>
        <w:shd w:val="clear" w:color="auto" w:fill="FFFFFF"/>
        <w:spacing w:before="0" w:beforeAutospacing="0" w:after="0" w:afterAutospacing="0" w:line="221" w:lineRule="atLeast"/>
        <w:rPr>
          <w:rFonts w:ascii="Times New Roman" w:hAnsi="Times New Roman" w:cs="Times New Roman"/>
          <w:color w:val="000000"/>
        </w:rPr>
      </w:pPr>
    </w:p>
    <w:p w:rsidR="00127C07" w:rsidRPr="00AB5271" w:rsidRDefault="00127C07" w:rsidP="005E6CEF">
      <w:pPr>
        <w:pStyle w:val="NormalWeb"/>
        <w:shd w:val="clear" w:color="auto" w:fill="FFFFFF"/>
        <w:spacing w:before="0" w:beforeAutospacing="0" w:after="0" w:afterAutospacing="0" w:line="221" w:lineRule="atLeast"/>
        <w:ind w:firstLine="709"/>
        <w:jc w:val="center"/>
        <w:rPr>
          <w:rFonts w:ascii="Times New Roman" w:hAnsi="Times New Roman" w:cs="Times New Roman"/>
          <w:color w:val="000000"/>
        </w:rPr>
      </w:pPr>
      <w:r w:rsidRPr="00AB5271">
        <w:rPr>
          <w:rStyle w:val="Strong"/>
          <w:rFonts w:ascii="Times New Roman" w:hAnsi="Times New Roman"/>
          <w:color w:val="000000"/>
          <w:bdr w:val="none" w:sz="0" w:space="0" w:color="auto" w:frame="1"/>
        </w:rPr>
        <w:t>Склад</w:t>
      </w:r>
    </w:p>
    <w:p w:rsidR="00127C07" w:rsidRPr="00AB5271" w:rsidRDefault="00127C07" w:rsidP="005E6CEF">
      <w:pPr>
        <w:pStyle w:val="NormalWeb"/>
        <w:shd w:val="clear" w:color="auto" w:fill="FFFFFF"/>
        <w:spacing w:before="0" w:beforeAutospacing="0" w:after="0" w:afterAutospacing="0" w:line="221" w:lineRule="atLeast"/>
        <w:ind w:firstLine="709"/>
        <w:jc w:val="center"/>
        <w:rPr>
          <w:rFonts w:ascii="Times New Roman" w:hAnsi="Times New Roman" w:cs="Times New Roman"/>
          <w:color w:val="000000"/>
        </w:rPr>
      </w:pPr>
      <w:r w:rsidRPr="00AB5271">
        <w:rPr>
          <w:rStyle w:val="Strong"/>
          <w:rFonts w:ascii="Times New Roman" w:hAnsi="Times New Roman"/>
          <w:color w:val="000000"/>
          <w:bdr w:val="none" w:sz="0" w:space="0" w:color="auto" w:frame="1"/>
        </w:rPr>
        <w:t>комісії по відбору банків для розміщення</w:t>
      </w:r>
    </w:p>
    <w:p w:rsidR="00127C07" w:rsidRPr="00AB5271" w:rsidRDefault="00127C07" w:rsidP="005E6CEF">
      <w:pPr>
        <w:pStyle w:val="NormalWeb"/>
        <w:shd w:val="clear" w:color="auto" w:fill="FFFFFF"/>
        <w:spacing w:before="0" w:beforeAutospacing="0" w:after="0" w:afterAutospacing="0" w:line="221" w:lineRule="atLeast"/>
        <w:ind w:firstLine="709"/>
        <w:jc w:val="center"/>
        <w:rPr>
          <w:rFonts w:ascii="Times New Roman" w:hAnsi="Times New Roman" w:cs="Times New Roman"/>
          <w:color w:val="000000"/>
        </w:rPr>
      </w:pPr>
      <w:r w:rsidRPr="00AB5271">
        <w:rPr>
          <w:rStyle w:val="Strong"/>
          <w:rFonts w:ascii="Times New Roman" w:hAnsi="Times New Roman"/>
          <w:color w:val="000000"/>
          <w:bdr w:val="none" w:sz="0" w:space="0" w:color="auto" w:frame="1"/>
        </w:rPr>
        <w:t>тимчасово вільних коштів міського бюджету</w:t>
      </w:r>
    </w:p>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p>
    <w:tbl>
      <w:tblPr>
        <w:tblW w:w="0" w:type="auto"/>
        <w:tblInd w:w="-106" w:type="dxa"/>
        <w:tblLook w:val="01E0"/>
      </w:tblPr>
      <w:tblGrid>
        <w:gridCol w:w="4887"/>
        <w:gridCol w:w="4894"/>
      </w:tblGrid>
      <w:tr w:rsidR="00127C07" w:rsidRPr="00AB5271">
        <w:tc>
          <w:tcPr>
            <w:tcW w:w="4926" w:type="dxa"/>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Голова комісії</w:t>
            </w:r>
          </w:p>
        </w:tc>
        <w:tc>
          <w:tcPr>
            <w:tcW w:w="4928"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Тимофій Р.М. - заступник міського голови</w:t>
            </w:r>
          </w:p>
        </w:tc>
      </w:tr>
      <w:tr w:rsidR="00127C07" w:rsidRPr="00AB5271">
        <w:tc>
          <w:tcPr>
            <w:tcW w:w="4926" w:type="dxa"/>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Заступник голови комісії          </w:t>
            </w:r>
          </w:p>
        </w:tc>
        <w:tc>
          <w:tcPr>
            <w:tcW w:w="4928"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Бойко Н.І. - начальник фінансового управління</w:t>
            </w:r>
          </w:p>
        </w:tc>
      </w:tr>
      <w:tr w:rsidR="00127C07" w:rsidRPr="00AB5271">
        <w:tc>
          <w:tcPr>
            <w:tcW w:w="4926" w:type="dxa"/>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Секретар комісії</w:t>
            </w:r>
          </w:p>
        </w:tc>
        <w:tc>
          <w:tcPr>
            <w:tcW w:w="4928"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Кузик Г.Б. – начальник бюджетного відділу фінансового управління</w:t>
            </w:r>
          </w:p>
        </w:tc>
      </w:tr>
      <w:tr w:rsidR="00127C07" w:rsidRPr="00AB5271">
        <w:tc>
          <w:tcPr>
            <w:tcW w:w="4926" w:type="dxa"/>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Члени комісії:</w:t>
            </w:r>
          </w:p>
        </w:tc>
        <w:tc>
          <w:tcPr>
            <w:tcW w:w="4928" w:type="dxa"/>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Дзиндра Я.П. – секретар міської ради</w:t>
            </w:r>
          </w:p>
        </w:tc>
      </w:tr>
      <w:tr w:rsidR="00127C07" w:rsidRPr="00AB5271">
        <w:tc>
          <w:tcPr>
            <w:tcW w:w="4926" w:type="dxa"/>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p>
        </w:tc>
        <w:tc>
          <w:tcPr>
            <w:tcW w:w="4928" w:type="dxa"/>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Тимофій І.П.– начальник юридичного відділу</w:t>
            </w:r>
          </w:p>
        </w:tc>
      </w:tr>
      <w:tr w:rsidR="00127C07" w:rsidRPr="00AB5271">
        <w:tc>
          <w:tcPr>
            <w:tcW w:w="4926"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p>
        </w:tc>
        <w:tc>
          <w:tcPr>
            <w:tcW w:w="4928"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 xml:space="preserve">Загайко Я.П. – начальник УДКС України  у Чортківському районі </w:t>
            </w:r>
          </w:p>
        </w:tc>
      </w:tr>
      <w:tr w:rsidR="00127C07" w:rsidRPr="00AB5271">
        <w:tc>
          <w:tcPr>
            <w:tcW w:w="4926"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p>
        </w:tc>
        <w:tc>
          <w:tcPr>
            <w:tcW w:w="4928"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Аксенчук І.Б. – голова комісії з питань бюджету,  фінансів, цін і комунального майна</w:t>
            </w:r>
          </w:p>
        </w:tc>
      </w:tr>
      <w:tr w:rsidR="00127C07" w:rsidRPr="00AB5271">
        <w:tc>
          <w:tcPr>
            <w:tcW w:w="4926"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p>
        </w:tc>
        <w:tc>
          <w:tcPr>
            <w:tcW w:w="4928" w:type="dxa"/>
            <w:vAlign w:val="center"/>
          </w:tcPr>
          <w:p w:rsidR="00127C07" w:rsidRPr="00AB5271" w:rsidRDefault="00127C07" w:rsidP="00C01B94">
            <w:pPr>
              <w:pStyle w:val="NormalWeb"/>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color w:val="000000"/>
              </w:rPr>
              <w:t>Скалій О.О. – член комісії з питань бюджету,  фінансів, цін і комунального майна</w:t>
            </w:r>
          </w:p>
        </w:tc>
      </w:tr>
    </w:tbl>
    <w:p w:rsidR="00127C07" w:rsidRPr="00AB5271" w:rsidRDefault="00127C07" w:rsidP="005E6CEF">
      <w:pPr>
        <w:pStyle w:val="NormalWeb"/>
        <w:shd w:val="clear" w:color="auto" w:fill="FFFFFF"/>
        <w:spacing w:before="0" w:beforeAutospacing="0" w:after="115" w:afterAutospacing="0" w:line="221" w:lineRule="atLeast"/>
        <w:ind w:firstLine="709"/>
        <w:jc w:val="both"/>
        <w:rPr>
          <w:rFonts w:ascii="Times New Roman" w:hAnsi="Times New Roman" w:cs="Times New Roman"/>
          <w:color w:val="000000"/>
        </w:rPr>
      </w:pPr>
      <w:r w:rsidRPr="00AB5271">
        <w:rPr>
          <w:rFonts w:ascii="Times New Roman" w:hAnsi="Times New Roman" w:cs="Times New Roman"/>
          <w:color w:val="000000"/>
        </w:rPr>
        <w:t xml:space="preserve">                                                                 </w:t>
      </w:r>
    </w:p>
    <w:p w:rsidR="00127C07" w:rsidRPr="00AB5271" w:rsidRDefault="00127C07" w:rsidP="00C554BB">
      <w:pPr>
        <w:pStyle w:val="NormalWeb"/>
        <w:shd w:val="clear" w:color="auto" w:fill="FFFFFF"/>
        <w:spacing w:before="0" w:beforeAutospacing="0" w:after="115" w:afterAutospacing="0" w:line="221" w:lineRule="atLeast"/>
        <w:rPr>
          <w:rFonts w:ascii="Times New Roman" w:hAnsi="Times New Roman" w:cs="Times New Roman"/>
          <w:color w:val="000000"/>
        </w:rPr>
      </w:pPr>
      <w:r w:rsidRPr="00AB5271">
        <w:rPr>
          <w:rFonts w:ascii="Times New Roman" w:hAnsi="Times New Roman" w:cs="Times New Roman"/>
          <w:b/>
          <w:bCs/>
          <w:color w:val="000000"/>
        </w:rPr>
        <w:t>Секретар міської ради                                                                Я.П. Дзиндра</w:t>
      </w:r>
    </w:p>
    <w:p w:rsidR="00127C07" w:rsidRPr="00AB5271" w:rsidRDefault="00127C07" w:rsidP="005E6CEF">
      <w:pPr>
        <w:ind w:firstLine="709"/>
        <w:jc w:val="both"/>
        <w:rPr>
          <w:rFonts w:ascii="Times New Roman" w:hAnsi="Times New Roman" w:cs="Times New Roman"/>
          <w:sz w:val="24"/>
          <w:szCs w:val="24"/>
        </w:rPr>
      </w:pPr>
    </w:p>
    <w:p w:rsidR="00127C07" w:rsidRPr="00AB5271" w:rsidRDefault="00127C07" w:rsidP="00643249">
      <w:pPr>
        <w:pStyle w:val="4"/>
        <w:ind w:firstLine="709"/>
        <w:outlineLvl w:val="3"/>
        <w:rPr>
          <w:rFonts w:ascii="Times New Roman" w:hAnsi="Times New Roman" w:cs="Times New Roman"/>
          <w:sz w:val="24"/>
          <w:szCs w:val="24"/>
          <w:lang w:val="uk-UA"/>
        </w:rPr>
      </w:pPr>
    </w:p>
    <w:p w:rsidR="00127C07" w:rsidRPr="00AB5271" w:rsidRDefault="00127C07" w:rsidP="00840B5B">
      <w:pPr>
        <w:tabs>
          <w:tab w:val="left" w:pos="3720"/>
        </w:tabs>
        <w:ind w:firstLine="709"/>
        <w:jc w:val="both"/>
        <w:rPr>
          <w:rFonts w:ascii="Times New Roman" w:hAnsi="Times New Roman" w:cs="Times New Roman"/>
          <w:sz w:val="24"/>
          <w:szCs w:val="24"/>
        </w:rPr>
      </w:pPr>
    </w:p>
    <w:p w:rsidR="00127C07" w:rsidRPr="00AB5271" w:rsidRDefault="00127C07" w:rsidP="00840B5B">
      <w:pPr>
        <w:tabs>
          <w:tab w:val="left" w:pos="3720"/>
        </w:tabs>
        <w:jc w:val="both"/>
        <w:rPr>
          <w:rFonts w:ascii="Times New Roman" w:hAnsi="Times New Roman" w:cs="Times New Roman"/>
          <w:b/>
          <w:bCs/>
          <w:sz w:val="24"/>
          <w:szCs w:val="24"/>
        </w:rPr>
      </w:pPr>
    </w:p>
    <w:p w:rsidR="00127C07" w:rsidRPr="00AB5271" w:rsidRDefault="00127C07" w:rsidP="00840B5B">
      <w:pPr>
        <w:tabs>
          <w:tab w:val="left" w:pos="3720"/>
        </w:tabs>
        <w:jc w:val="both"/>
        <w:rPr>
          <w:rFonts w:ascii="Times New Roman" w:hAnsi="Times New Roman" w:cs="Times New Roman"/>
          <w:b/>
          <w:bCs/>
          <w:sz w:val="24"/>
          <w:szCs w:val="24"/>
        </w:rPr>
      </w:pPr>
    </w:p>
    <w:p w:rsidR="00127C07" w:rsidRPr="00AB5271" w:rsidRDefault="00127C07" w:rsidP="00840B5B">
      <w:pPr>
        <w:tabs>
          <w:tab w:val="left" w:pos="3720"/>
        </w:tabs>
        <w:jc w:val="both"/>
        <w:rPr>
          <w:rFonts w:ascii="Times New Roman" w:hAnsi="Times New Roman" w:cs="Times New Roman"/>
          <w:b/>
          <w:bCs/>
          <w:sz w:val="24"/>
          <w:szCs w:val="24"/>
        </w:rPr>
      </w:pPr>
    </w:p>
    <w:sectPr w:rsidR="00127C07" w:rsidRPr="00AB5271" w:rsidSect="001570BE">
      <w:pgSz w:w="11906" w:h="16838"/>
      <w:pgMar w:top="1134" w:right="74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2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F157EE9"/>
    <w:multiLevelType w:val="hybridMultilevel"/>
    <w:tmpl w:val="E5CC60FA"/>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
    <w:nsid w:val="5E2168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AE0"/>
    <w:rsid w:val="000259AE"/>
    <w:rsid w:val="000532FB"/>
    <w:rsid w:val="000E1044"/>
    <w:rsid w:val="00127C07"/>
    <w:rsid w:val="0014519E"/>
    <w:rsid w:val="001570BE"/>
    <w:rsid w:val="00196E6B"/>
    <w:rsid w:val="001C4594"/>
    <w:rsid w:val="00201BF3"/>
    <w:rsid w:val="00267688"/>
    <w:rsid w:val="002C47C0"/>
    <w:rsid w:val="00302098"/>
    <w:rsid w:val="00304EF0"/>
    <w:rsid w:val="00305DAE"/>
    <w:rsid w:val="00311F4D"/>
    <w:rsid w:val="00317B72"/>
    <w:rsid w:val="00336BAB"/>
    <w:rsid w:val="00362050"/>
    <w:rsid w:val="00377797"/>
    <w:rsid w:val="00377F2F"/>
    <w:rsid w:val="0038121D"/>
    <w:rsid w:val="00392AB8"/>
    <w:rsid w:val="00396AE0"/>
    <w:rsid w:val="00397F5D"/>
    <w:rsid w:val="003E72DA"/>
    <w:rsid w:val="00421BDC"/>
    <w:rsid w:val="004300EE"/>
    <w:rsid w:val="0043061E"/>
    <w:rsid w:val="004613AC"/>
    <w:rsid w:val="004B6B4C"/>
    <w:rsid w:val="004C6B40"/>
    <w:rsid w:val="004D5D10"/>
    <w:rsid w:val="0052030F"/>
    <w:rsid w:val="00554ED8"/>
    <w:rsid w:val="00555163"/>
    <w:rsid w:val="005920F9"/>
    <w:rsid w:val="005B6350"/>
    <w:rsid w:val="005D5FD3"/>
    <w:rsid w:val="005E6CEF"/>
    <w:rsid w:val="00600666"/>
    <w:rsid w:val="0060738D"/>
    <w:rsid w:val="00643249"/>
    <w:rsid w:val="00693E9F"/>
    <w:rsid w:val="006A2FE2"/>
    <w:rsid w:val="00703027"/>
    <w:rsid w:val="0074540B"/>
    <w:rsid w:val="007479C7"/>
    <w:rsid w:val="00786177"/>
    <w:rsid w:val="00786B21"/>
    <w:rsid w:val="007955AA"/>
    <w:rsid w:val="007F4CB4"/>
    <w:rsid w:val="00805599"/>
    <w:rsid w:val="008202B6"/>
    <w:rsid w:val="00840B5B"/>
    <w:rsid w:val="0087617E"/>
    <w:rsid w:val="008A2E61"/>
    <w:rsid w:val="008A6537"/>
    <w:rsid w:val="008C75CB"/>
    <w:rsid w:val="009B4F92"/>
    <w:rsid w:val="009E5CD5"/>
    <w:rsid w:val="00A15333"/>
    <w:rsid w:val="00A20C38"/>
    <w:rsid w:val="00A266C2"/>
    <w:rsid w:val="00A54C0F"/>
    <w:rsid w:val="00A754E4"/>
    <w:rsid w:val="00AB5271"/>
    <w:rsid w:val="00AB5962"/>
    <w:rsid w:val="00AC2D59"/>
    <w:rsid w:val="00B01C41"/>
    <w:rsid w:val="00B61ACF"/>
    <w:rsid w:val="00BF1FDB"/>
    <w:rsid w:val="00C01B94"/>
    <w:rsid w:val="00C04B73"/>
    <w:rsid w:val="00C24713"/>
    <w:rsid w:val="00C554BB"/>
    <w:rsid w:val="00C87947"/>
    <w:rsid w:val="00CA519E"/>
    <w:rsid w:val="00CB0C41"/>
    <w:rsid w:val="00D20741"/>
    <w:rsid w:val="00D52AC5"/>
    <w:rsid w:val="00D559D7"/>
    <w:rsid w:val="00D83B79"/>
    <w:rsid w:val="00DA78DC"/>
    <w:rsid w:val="00DC1E8E"/>
    <w:rsid w:val="00DE233C"/>
    <w:rsid w:val="00E61AC0"/>
    <w:rsid w:val="00E86887"/>
    <w:rsid w:val="00EA3C95"/>
    <w:rsid w:val="00EB1BBD"/>
    <w:rsid w:val="00EE1BB7"/>
    <w:rsid w:val="00EE369B"/>
    <w:rsid w:val="00F41D38"/>
    <w:rsid w:val="00F87DFA"/>
    <w:rsid w:val="00F94827"/>
    <w:rsid w:val="00FC4C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21"/>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заголовок 4"/>
    <w:basedOn w:val="Normal"/>
    <w:next w:val="Normal"/>
    <w:uiPriority w:val="99"/>
    <w:rsid w:val="00643249"/>
    <w:pPr>
      <w:keepNext/>
      <w:autoSpaceDE w:val="0"/>
      <w:autoSpaceDN w:val="0"/>
      <w:ind w:firstLine="1701"/>
      <w:jc w:val="both"/>
    </w:pPr>
    <w:rPr>
      <w:rFonts w:ascii="Bookman Old Style" w:hAnsi="Bookman Old Style" w:cs="Bookman Old Style"/>
      <w:sz w:val="27"/>
      <w:szCs w:val="27"/>
      <w:lang w:val="ru-RU" w:eastAsia="ru-RU"/>
    </w:rPr>
  </w:style>
  <w:style w:type="paragraph" w:styleId="NormalWeb">
    <w:name w:val="Normal (Web)"/>
    <w:basedOn w:val="Normal"/>
    <w:uiPriority w:val="99"/>
    <w:rsid w:val="005E6CEF"/>
    <w:pPr>
      <w:spacing w:before="100" w:beforeAutospacing="1" w:after="100" w:afterAutospacing="1"/>
    </w:pPr>
    <w:rPr>
      <w:sz w:val="24"/>
      <w:szCs w:val="24"/>
    </w:rPr>
  </w:style>
  <w:style w:type="character" w:styleId="Strong">
    <w:name w:val="Strong"/>
    <w:basedOn w:val="DefaultParagraphFont"/>
    <w:uiPriority w:val="99"/>
    <w:qFormat/>
    <w:locked/>
    <w:rsid w:val="005E6CEF"/>
    <w:rPr>
      <w:rFonts w:cs="Times New Roman"/>
      <w:b/>
      <w:bCs/>
    </w:rPr>
  </w:style>
  <w:style w:type="paragraph" w:customStyle="1" w:styleId="rvps2">
    <w:name w:val="rvps2"/>
    <w:basedOn w:val="Normal"/>
    <w:uiPriority w:val="99"/>
    <w:rsid w:val="005E6CEF"/>
    <w:pPr>
      <w:spacing w:before="100" w:beforeAutospacing="1" w:after="100" w:afterAutospacing="1"/>
    </w:pPr>
    <w:rPr>
      <w:sz w:val="24"/>
      <w:szCs w:val="24"/>
    </w:rPr>
  </w:style>
  <w:style w:type="table" w:styleId="TableGrid">
    <w:name w:val="Table Grid"/>
    <w:basedOn w:val="TableNormal"/>
    <w:uiPriority w:val="99"/>
    <w:locked/>
    <w:rsid w:val="005E6C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1570BE"/>
    <w:pPr>
      <w:widowControl w:val="0"/>
      <w:suppressAutoHyphens/>
      <w:autoSpaceDE w:val="0"/>
      <w:spacing w:line="300" w:lineRule="auto"/>
      <w:ind w:left="2080" w:right="2000"/>
      <w:jc w:val="both"/>
    </w:pPr>
    <w:rPr>
      <w:sz w:val="28"/>
      <w:szCs w:val="28"/>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1470</Words>
  <Characters>8381</Characters>
  <Application>Microsoft Office Outlook</Application>
  <DocSecurity>0</DocSecurity>
  <Lines>0</Lines>
  <Paragraphs>0</Paragraphs>
  <ScaleCrop>false</ScaleCrop>
  <Company>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user</cp:lastModifiedBy>
  <cp:revision>3</cp:revision>
  <cp:lastPrinted>2017-02-17T07:27:00Z</cp:lastPrinted>
  <dcterms:created xsi:type="dcterms:W3CDTF">2017-02-16T07:02:00Z</dcterms:created>
  <dcterms:modified xsi:type="dcterms:W3CDTF">2017-02-17T07:27:00Z</dcterms:modified>
</cp:coreProperties>
</file>