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48"/>
        <w:rPr>
          <w:sz w:val="20"/>
        </w:rPr>
      </w:pPr>
      <w:r>
        <w:rPr>
          <w:sz w:val="20"/>
        </w:rPr>
        <w:drawing>
          <wp:inline distT="0" distB="0" distL="0" distR="0">
            <wp:extent cx="498621" cy="69608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21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4"/>
        <w:ind w:left="4197"/>
      </w:pPr>
      <w:r>
        <w:rPr/>
        <w:t>УКРАЇНА</w:t>
      </w:r>
    </w:p>
    <w:p>
      <w:pPr>
        <w:pStyle w:val="BodyText"/>
        <w:rPr>
          <w:b/>
          <w:sz w:val="24"/>
        </w:rPr>
      </w:pPr>
    </w:p>
    <w:p>
      <w:pPr>
        <w:spacing w:before="0"/>
        <w:ind w:left="1727" w:right="1216" w:firstLine="912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BodyText"/>
        <w:spacing w:before="1"/>
        <w:rPr>
          <w:b/>
          <w:sz w:val="38"/>
        </w:rPr>
      </w:pPr>
    </w:p>
    <w:p>
      <w:pPr>
        <w:pStyle w:val="Heading1"/>
        <w:spacing w:before="1"/>
        <w:ind w:left="4233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tabs>
          <w:tab w:pos="6957" w:val="left" w:leader="none"/>
        </w:tabs>
        <w:spacing w:line="322" w:lineRule="exact" w:before="252"/>
        <w:ind w:left="189" w:right="0" w:firstLine="0"/>
        <w:jc w:val="left"/>
        <w:rPr>
          <w:b/>
          <w:sz w:val="28"/>
        </w:rPr>
      </w:pPr>
      <w:r>
        <w:rPr>
          <w:b/>
          <w:sz w:val="28"/>
        </w:rPr>
        <w:t>від   21 червня</w:t>
      </w:r>
      <w:r>
        <w:rPr>
          <w:b/>
          <w:spacing w:val="-28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</w:t>
      </w:r>
      <w:r>
        <w:rPr>
          <w:b/>
          <w:spacing w:val="-9"/>
          <w:sz w:val="28"/>
        </w:rPr>
        <w:t>1110</w:t>
      </w:r>
    </w:p>
    <w:p>
      <w:pPr>
        <w:pStyle w:val="Heading1"/>
        <w:ind w:left="189"/>
      </w:pPr>
      <w:r>
        <w:rPr/>
        <w:t>м. Чортків</w:t>
      </w:r>
    </w:p>
    <w:p>
      <w:pPr>
        <w:spacing w:before="275"/>
        <w:ind w:left="120" w:right="3733" w:firstLine="0"/>
        <w:jc w:val="left"/>
        <w:rPr>
          <w:b/>
          <w:sz w:val="28"/>
        </w:rPr>
      </w:pPr>
      <w:r>
        <w:rPr>
          <w:b/>
          <w:sz w:val="28"/>
        </w:rPr>
        <w:t>Про затвердження Програми удосконалення об’єктів інфраструктури міста Чорткова на 2018-2020 рр.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ind w:left="119" w:right="115" w:firstLine="708"/>
        <w:jc w:val="both"/>
      </w:pPr>
      <w:r>
        <w:rPr/>
        <w:t>З метою покращення інфраструктурних об’єктів міста </w:t>
      </w:r>
      <w:r>
        <w:rPr>
          <w:spacing w:val="-3"/>
        </w:rPr>
        <w:t>Чорткова, керуючись пунктом </w:t>
      </w:r>
      <w:r>
        <w:rPr/>
        <w:t>22 статті 26 </w:t>
      </w:r>
      <w:r>
        <w:rPr>
          <w:spacing w:val="-3"/>
        </w:rPr>
        <w:t>Закону </w:t>
      </w:r>
      <w:r>
        <w:rPr>
          <w:spacing w:val="-4"/>
        </w:rPr>
        <w:t>України </w:t>
      </w:r>
      <w:r>
        <w:rPr/>
        <w:t>«Про місцеве  самоврядування в </w:t>
      </w:r>
      <w:r>
        <w:rPr>
          <w:spacing w:val="-4"/>
        </w:rPr>
        <w:t>Україні», </w:t>
      </w:r>
      <w:r>
        <w:rPr/>
        <w:t>міська</w:t>
      </w:r>
      <w:r>
        <w:rPr>
          <w:spacing w:val="-1"/>
        </w:rPr>
        <w:t> </w:t>
      </w:r>
      <w:r>
        <w:rPr/>
        <w:t>рада</w:t>
      </w:r>
    </w:p>
    <w:p>
      <w:pPr>
        <w:pStyle w:val="Heading1"/>
        <w:spacing w:before="268"/>
      </w:pPr>
      <w:r>
        <w:rPr/>
        <w:t>ВИРІШИЛА: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16" w:lineRule="auto" w:before="280" w:after="0"/>
        <w:ind w:left="119" w:right="115" w:firstLine="708"/>
        <w:jc w:val="both"/>
        <w:rPr>
          <w:sz w:val="28"/>
        </w:rPr>
      </w:pPr>
      <w:r>
        <w:rPr>
          <w:sz w:val="28"/>
        </w:rPr>
        <w:t>Затвердити Програму </w:t>
      </w:r>
      <w:r>
        <w:rPr>
          <w:spacing w:val="-3"/>
          <w:sz w:val="28"/>
        </w:rPr>
        <w:t>удосконалення </w:t>
      </w:r>
      <w:r>
        <w:rPr>
          <w:sz w:val="28"/>
        </w:rPr>
        <w:t>об’єктів інфраструктури міста </w:t>
      </w:r>
      <w:r>
        <w:rPr>
          <w:spacing w:val="-4"/>
          <w:sz w:val="28"/>
        </w:rPr>
        <w:t>Чорткова </w:t>
      </w:r>
      <w:r>
        <w:rPr>
          <w:sz w:val="28"/>
        </w:rPr>
        <w:t>на 2018-2020 рр. згідно</w:t>
      </w:r>
      <w:r>
        <w:rPr>
          <w:spacing w:val="-3"/>
          <w:sz w:val="28"/>
        </w:rPr>
        <w:t> </w:t>
      </w:r>
      <w:r>
        <w:rPr>
          <w:spacing w:val="-7"/>
          <w:sz w:val="28"/>
        </w:rPr>
        <w:t>додатку.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16" w:lineRule="auto" w:before="0" w:after="0"/>
        <w:ind w:left="120" w:right="116" w:firstLine="708"/>
        <w:jc w:val="both"/>
        <w:rPr>
          <w:sz w:val="28"/>
        </w:rPr>
      </w:pPr>
      <w:r>
        <w:rPr>
          <w:sz w:val="28"/>
        </w:rPr>
        <w:t>Фінансовому управлінню </w:t>
      </w:r>
      <w:r>
        <w:rPr>
          <w:spacing w:val="-3"/>
          <w:sz w:val="28"/>
        </w:rPr>
        <w:t>міської </w:t>
      </w:r>
      <w:r>
        <w:rPr>
          <w:sz w:val="28"/>
        </w:rPr>
        <w:t>ради забезпечити фінансування Програми в межах </w:t>
      </w:r>
      <w:r>
        <w:rPr>
          <w:spacing w:val="-3"/>
          <w:sz w:val="28"/>
        </w:rPr>
        <w:t>коштів </w:t>
      </w:r>
      <w:r>
        <w:rPr>
          <w:sz w:val="28"/>
        </w:rPr>
        <w:t>передбачених </w:t>
      </w:r>
      <w:r>
        <w:rPr>
          <w:spacing w:val="-4"/>
          <w:sz w:val="28"/>
        </w:rPr>
        <w:t>бюджетом</w:t>
      </w:r>
      <w:r>
        <w:rPr>
          <w:spacing w:val="-7"/>
          <w:sz w:val="28"/>
        </w:rPr>
        <w:t> </w:t>
      </w:r>
      <w:r>
        <w:rPr>
          <w:sz w:val="28"/>
        </w:rPr>
        <w:t>міста.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16" w:lineRule="auto" w:before="0" w:after="0"/>
        <w:ind w:left="120" w:right="115" w:firstLine="708"/>
        <w:jc w:val="both"/>
        <w:rPr>
          <w:sz w:val="28"/>
        </w:rPr>
      </w:pPr>
      <w:r>
        <w:rPr>
          <w:sz w:val="28"/>
        </w:rPr>
        <w:t>Відділу </w:t>
      </w:r>
      <w:r>
        <w:rPr>
          <w:spacing w:val="-3"/>
          <w:sz w:val="28"/>
        </w:rPr>
        <w:t>житлово-комунального </w:t>
      </w:r>
      <w:r>
        <w:rPr>
          <w:sz w:val="28"/>
        </w:rPr>
        <w:t>господарства, </w:t>
      </w:r>
      <w:r>
        <w:rPr>
          <w:spacing w:val="-3"/>
          <w:sz w:val="28"/>
        </w:rPr>
        <w:t>благоустрою </w:t>
      </w:r>
      <w:r>
        <w:rPr>
          <w:sz w:val="28"/>
        </w:rPr>
        <w:t>та інфраструктури </w:t>
      </w:r>
      <w:r>
        <w:rPr>
          <w:spacing w:val="-3"/>
          <w:sz w:val="28"/>
        </w:rPr>
        <w:t>міської </w:t>
      </w:r>
      <w:r>
        <w:rPr>
          <w:sz w:val="28"/>
        </w:rPr>
        <w:t>ради здійснити організаційну роботу </w:t>
      </w:r>
      <w:r>
        <w:rPr>
          <w:spacing w:val="-3"/>
          <w:sz w:val="28"/>
        </w:rPr>
        <w:t>щодо виконання </w:t>
      </w:r>
      <w:r>
        <w:rPr>
          <w:sz w:val="28"/>
        </w:rPr>
        <w:t>даної</w:t>
      </w:r>
      <w:r>
        <w:rPr>
          <w:spacing w:val="-1"/>
          <w:sz w:val="28"/>
        </w:rPr>
        <w:t> </w:t>
      </w:r>
      <w:r>
        <w:rPr>
          <w:sz w:val="28"/>
        </w:rPr>
        <w:t>Програми.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16" w:lineRule="auto" w:before="0" w:after="0"/>
        <w:ind w:left="120" w:right="114" w:firstLine="708"/>
        <w:jc w:val="both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відділу </w:t>
      </w:r>
      <w:r>
        <w:rPr>
          <w:spacing w:val="-3"/>
          <w:sz w:val="28"/>
        </w:rPr>
        <w:t>житлово-комунального </w:t>
      </w:r>
      <w:r>
        <w:rPr>
          <w:sz w:val="28"/>
        </w:rPr>
        <w:t>господарства, </w:t>
      </w:r>
      <w:r>
        <w:rPr>
          <w:spacing w:val="-3"/>
          <w:sz w:val="28"/>
        </w:rPr>
        <w:t>благоустрою </w:t>
      </w:r>
      <w:r>
        <w:rPr>
          <w:sz w:val="28"/>
        </w:rPr>
        <w:t>та інфраструктури, відділу </w:t>
      </w:r>
      <w:r>
        <w:rPr>
          <w:spacing w:val="-3"/>
          <w:sz w:val="28"/>
        </w:rPr>
        <w:t>бухгалтерського обліку </w:t>
      </w:r>
      <w:r>
        <w:rPr>
          <w:sz w:val="28"/>
        </w:rPr>
        <w:t>та звітності </w:t>
      </w:r>
      <w:r>
        <w:rPr>
          <w:spacing w:val="-3"/>
          <w:sz w:val="28"/>
        </w:rPr>
        <w:t>міської </w:t>
      </w:r>
      <w:r>
        <w:rPr>
          <w:sz w:val="28"/>
        </w:rPr>
        <w:t>ради.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16" w:lineRule="auto" w:before="1" w:after="0"/>
        <w:ind w:left="120" w:right="115" w:firstLine="708"/>
        <w:jc w:val="both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організацією </w:t>
      </w:r>
      <w:r>
        <w:rPr>
          <w:spacing w:val="-3"/>
          <w:sz w:val="28"/>
        </w:rPr>
        <w:t>виконання </w:t>
      </w:r>
      <w:r>
        <w:rPr>
          <w:sz w:val="28"/>
        </w:rPr>
        <w:t>рішення покласти на заступника </w:t>
      </w:r>
      <w:r>
        <w:rPr>
          <w:spacing w:val="-3"/>
          <w:sz w:val="28"/>
        </w:rPr>
        <w:t>міського голови </w:t>
      </w:r>
      <w:r>
        <w:rPr>
          <w:sz w:val="28"/>
        </w:rPr>
        <w:t>з питань діяльності </w:t>
      </w:r>
      <w:r>
        <w:rPr>
          <w:spacing w:val="-4"/>
          <w:sz w:val="28"/>
        </w:rPr>
        <w:t>виконавчих </w:t>
      </w:r>
      <w:r>
        <w:rPr>
          <w:sz w:val="28"/>
        </w:rPr>
        <w:t>органів ради Недокуса О. З. та на </w:t>
      </w:r>
      <w:r>
        <w:rPr>
          <w:spacing w:val="-3"/>
          <w:sz w:val="28"/>
        </w:rPr>
        <w:t>комісії міської </w:t>
      </w:r>
      <w:r>
        <w:rPr>
          <w:sz w:val="28"/>
        </w:rPr>
        <w:t>ради з питань </w:t>
      </w:r>
      <w:r>
        <w:rPr>
          <w:spacing w:val="-3"/>
          <w:sz w:val="28"/>
        </w:rPr>
        <w:t>житлово-комунального </w:t>
      </w:r>
      <w:r>
        <w:rPr>
          <w:sz w:val="28"/>
        </w:rPr>
        <w:t>господарства, транспорту і зв’язку та бюджетно-фінансових, </w:t>
      </w:r>
      <w:r>
        <w:rPr>
          <w:spacing w:val="-3"/>
          <w:sz w:val="28"/>
        </w:rPr>
        <w:t>економічних </w:t>
      </w:r>
      <w:r>
        <w:rPr>
          <w:sz w:val="28"/>
        </w:rPr>
        <w:t>питань, </w:t>
      </w:r>
      <w:r>
        <w:rPr>
          <w:spacing w:val="-3"/>
          <w:sz w:val="28"/>
        </w:rPr>
        <w:t>комунального </w:t>
      </w:r>
      <w:r>
        <w:rPr>
          <w:sz w:val="28"/>
        </w:rPr>
        <w:t>майна та</w:t>
      </w:r>
      <w:r>
        <w:rPr>
          <w:spacing w:val="-1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tabs>
          <w:tab w:pos="6263" w:val="left" w:leader="none"/>
        </w:tabs>
        <w:spacing w:before="1"/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1"/>
        </w:rPr>
        <w:t> </w:t>
      </w:r>
      <w:r>
        <w:rPr>
          <w:spacing w:val="-6"/>
        </w:rPr>
        <w:t>ШМАТЬКО</w:t>
      </w:r>
    </w:p>
    <w:sectPr>
      <w:type w:val="continuous"/>
      <w:pgSz w:w="11900" w:h="16840"/>
      <w:pgMar w:top="820" w:bottom="280" w:left="16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68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16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64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12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6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08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56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04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15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№1110</dc:title>
  <dcterms:created xsi:type="dcterms:W3CDTF">2020-11-30T20:08:49Z</dcterms:created>
  <dcterms:modified xsi:type="dcterms:W3CDTF">2020-11-30T20:08:49Z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