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3822065</wp:posOffset>
            </wp:positionH>
            <wp:positionV relativeFrom="page">
              <wp:posOffset>836295</wp:posOffset>
            </wp:positionV>
            <wp:extent cx="588010" cy="8197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8010" cy="81978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ind w:left="4560"/>
        <w:spacing w:after="0"/>
        <w:rPr>
          <w:sz w:val="20"/>
          <w:szCs w:val="20"/>
          <w:color w:val="auto"/>
        </w:rPr>
      </w:pPr>
      <w:r>
        <w:rPr>
          <w:rFonts w:ascii="Times New Roman" w:cs="Times New Roman" w:eastAsia="Times New Roman" w:hAnsi="Times New Roman"/>
          <w:sz w:val="28"/>
          <w:szCs w:val="28"/>
          <w:b w:val="1"/>
          <w:bCs w:val="1"/>
          <w:color w:val="auto"/>
        </w:rPr>
        <w:t>УКРАЇНА</w:t>
      </w:r>
    </w:p>
    <w:p>
      <w:pPr>
        <w:spacing w:after="0" w:line="355" w:lineRule="exact"/>
        <w:rPr>
          <w:sz w:val="24"/>
          <w:szCs w:val="24"/>
          <w:color w:val="auto"/>
        </w:rPr>
      </w:pPr>
    </w:p>
    <w:p>
      <w:pPr>
        <w:ind w:left="1860" w:right="1600" w:firstLine="1310"/>
        <w:spacing w:after="0" w:line="308" w:lineRule="auto"/>
        <w:rPr>
          <w:sz w:val="20"/>
          <w:szCs w:val="20"/>
          <w:color w:val="auto"/>
        </w:rPr>
      </w:pPr>
      <w:r>
        <w:rPr>
          <w:rFonts w:ascii="Times New Roman" w:cs="Times New Roman" w:eastAsia="Times New Roman" w:hAnsi="Times New Roman"/>
          <w:sz w:val="27"/>
          <w:szCs w:val="27"/>
          <w:b w:val="1"/>
          <w:bCs w:val="1"/>
          <w:color w:val="auto"/>
        </w:rPr>
        <w:t>ЧОРТКІВСЬКА МІСЬКА РАДА СОРОК ТРЕТЯ СЕСІЯ СЬОМОГО СКЛИКАННЯ</w:t>
      </w:r>
    </w:p>
    <w:p>
      <w:pPr>
        <w:spacing w:after="0" w:line="187"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РІШЕННЯ</w:t>
      </w:r>
    </w:p>
    <w:p>
      <w:pPr>
        <w:sectPr>
          <w:pgSz w:w="11900" w:h="16840" w:orient="portrait"/>
          <w:cols w:equalWidth="0" w:num="1">
            <w:col w:w="9900"/>
          </w:cols>
          <w:pgMar w:left="1440" w:top="1440" w:right="560" w:bottom="710" w:gutter="0" w:footer="0" w:header="0"/>
        </w:sectPr>
      </w:pPr>
    </w:p>
    <w:p>
      <w:pPr>
        <w:spacing w:after="0" w:line="336"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від 26 вересня 2018 року</w:t>
      </w:r>
    </w:p>
    <w:p>
      <w:pPr>
        <w:spacing w:after="0" w:line="47"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м. Чортків</w:t>
      </w:r>
    </w:p>
    <w:p>
      <w:pPr>
        <w:spacing w:after="0" w:line="20" w:lineRule="exact"/>
        <w:rPr>
          <w:sz w:val="24"/>
          <w:szCs w:val="24"/>
          <w:color w:val="auto"/>
        </w:rPr>
      </w:pPr>
      <w:r>
        <w:rPr>
          <w:sz w:val="24"/>
          <w:szCs w:val="24"/>
          <w:color w:val="auto"/>
        </w:rPr>
        <w:br w:type="column"/>
      </w:r>
    </w:p>
    <w:p>
      <w:pPr>
        <w:spacing w:after="0" w:line="316" w:lineRule="exact"/>
        <w:rPr>
          <w:sz w:val="24"/>
          <w:szCs w:val="24"/>
          <w:color w:val="auto"/>
        </w:rPr>
      </w:pPr>
    </w:p>
    <w:p>
      <w:pPr>
        <w:spacing w:after="0"/>
        <w:rPr>
          <w:sz w:val="20"/>
          <w:szCs w:val="20"/>
          <w:color w:val="auto"/>
        </w:rPr>
      </w:pPr>
      <w:r>
        <w:rPr>
          <w:rFonts w:ascii="Times New Roman" w:cs="Times New Roman" w:eastAsia="Times New Roman" w:hAnsi="Times New Roman"/>
          <w:sz w:val="27"/>
          <w:szCs w:val="27"/>
          <w:b w:val="1"/>
          <w:bCs w:val="1"/>
          <w:color w:val="auto"/>
        </w:rPr>
        <w:t>№ 1189</w:t>
      </w:r>
    </w:p>
    <w:p>
      <w:pPr>
        <w:spacing w:after="0" w:line="579" w:lineRule="exact"/>
        <w:rPr>
          <w:sz w:val="24"/>
          <w:szCs w:val="24"/>
          <w:color w:val="auto"/>
        </w:rPr>
      </w:pPr>
    </w:p>
    <w:p>
      <w:pPr>
        <w:sectPr>
          <w:pgSz w:w="11900" w:h="16840" w:orient="portrait"/>
          <w:cols w:equalWidth="0" w:num="2">
            <w:col w:w="6200" w:space="720"/>
            <w:col w:w="2980"/>
          </w:cols>
          <w:pgMar w:left="1440" w:top="1440" w:right="560" w:bottom="710" w:gutter="0" w:footer="0" w:header="0"/>
          <w:type w:val="continuous"/>
        </w:sectPr>
      </w:pPr>
    </w:p>
    <w:p>
      <w:pPr>
        <w:spacing w:after="0" w:line="79" w:lineRule="exact"/>
        <w:rPr>
          <w:sz w:val="24"/>
          <w:szCs w:val="24"/>
          <w:color w:val="auto"/>
        </w:rPr>
      </w:pPr>
    </w:p>
    <w:p>
      <w:pPr>
        <w:jc w:val="both"/>
        <w:ind w:left="260"/>
        <w:spacing w:after="0" w:line="243" w:lineRule="auto"/>
        <w:rPr>
          <w:sz w:val="20"/>
          <w:szCs w:val="20"/>
          <w:color w:val="auto"/>
        </w:rPr>
      </w:pPr>
      <w:r>
        <w:rPr>
          <w:rFonts w:ascii="Times New Roman" w:cs="Times New Roman" w:eastAsia="Times New Roman" w:hAnsi="Times New Roman"/>
          <w:sz w:val="28"/>
          <w:szCs w:val="28"/>
          <w:b w:val="1"/>
          <w:bCs w:val="1"/>
          <w:color w:val="auto"/>
        </w:rPr>
        <w:t>Про надання дозволу Чортківському комунальному підприємству «Чортківське виробниче управління водопровідно-каналізаційного господарства» Чортківської міської ради на складання технічної документації із землеустрою щодо встановлення (відновлення) меж земельної ділянки в натурі (на місцевості) в постійне користування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каналізаційна насосна станція №2 ) по вул. Шевченка,88 в м. Чорткові.</w:t>
      </w:r>
    </w:p>
    <w:p>
      <w:pPr>
        <w:spacing w:after="0" w:line="3" w:lineRule="exact"/>
        <w:rPr>
          <w:sz w:val="24"/>
          <w:szCs w:val="24"/>
          <w:color w:val="auto"/>
        </w:rPr>
      </w:pPr>
    </w:p>
    <w:p>
      <w:pPr>
        <w:jc w:val="both"/>
        <w:ind w:left="260" w:firstLine="710"/>
        <w:spacing w:after="0" w:line="239" w:lineRule="auto"/>
        <w:rPr>
          <w:sz w:val="20"/>
          <w:szCs w:val="20"/>
          <w:color w:val="auto"/>
        </w:rPr>
      </w:pPr>
      <w:r>
        <w:rPr>
          <w:rFonts w:ascii="Times New Roman" w:cs="Times New Roman" w:eastAsia="Times New Roman" w:hAnsi="Times New Roman"/>
          <w:sz w:val="28"/>
          <w:szCs w:val="28"/>
          <w:color w:val="auto"/>
        </w:rPr>
        <w:t>Розглянувши клопотання начальника КП «Чортківське ВУВКГ» Гордієнка В.М., відповідно до ст. 12, 92, 120, 122, 123 Земельного кодексу України, ст. 55 Закону України «Про землеустрій», керуючись п.34 ч.1 ст.26 Закону України «Про місцеве самоврядування в Україні», міська рада</w:t>
      </w:r>
    </w:p>
    <w:p>
      <w:pPr>
        <w:spacing w:after="0" w:line="283"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ВИРІШИЛА:</w:t>
      </w:r>
    </w:p>
    <w:p>
      <w:pPr>
        <w:spacing w:after="0" w:line="322" w:lineRule="exact"/>
        <w:rPr>
          <w:sz w:val="24"/>
          <w:szCs w:val="24"/>
          <w:color w:val="auto"/>
        </w:rPr>
      </w:pPr>
    </w:p>
    <w:p>
      <w:pPr>
        <w:jc w:val="both"/>
        <w:ind w:left="260" w:firstLine="710"/>
        <w:spacing w:after="0" w:line="243" w:lineRule="auto"/>
        <w:rPr>
          <w:sz w:val="20"/>
          <w:szCs w:val="20"/>
          <w:color w:val="auto"/>
        </w:rPr>
      </w:pPr>
      <w:r>
        <w:rPr>
          <w:rFonts w:ascii="Times New Roman" w:cs="Times New Roman" w:eastAsia="Times New Roman" w:hAnsi="Times New Roman"/>
          <w:sz w:val="28"/>
          <w:szCs w:val="28"/>
          <w:color w:val="auto"/>
        </w:rPr>
        <w:t>1.Надати дозвіл Чортківському комунальному підприємству «Чортківське виробниче управління водопровідно-каналізаційного господарства» Чортківської міської ради на складання технічної документації із землеустрою щодо встановлення (відновлення) меж земельної ділянки в натурі (на місцевості) в постійне користування площею – 0,0332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(каналізаційна насосна станція №2) по вул. Шевченка,88 в м. Чорткові.</w:t>
      </w:r>
    </w:p>
    <w:p>
      <w:pPr>
        <w:spacing w:after="0" w:line="6" w:lineRule="exact"/>
        <w:rPr>
          <w:sz w:val="24"/>
          <w:szCs w:val="24"/>
          <w:color w:val="auto"/>
        </w:rPr>
      </w:pPr>
    </w:p>
    <w:p>
      <w:pPr>
        <w:ind w:left="960"/>
        <w:spacing w:after="0"/>
        <w:tabs>
          <w:tab w:leader="none" w:pos="2620" w:val="left"/>
          <w:tab w:leader="none" w:pos="4720" w:val="left"/>
          <w:tab w:leader="none" w:pos="5300" w:val="left"/>
          <w:tab w:leader="none" w:pos="7240" w:val="left"/>
          <w:tab w:leader="none" w:pos="8260" w:val="left"/>
        </w:tabs>
        <w:rPr>
          <w:sz w:val="20"/>
          <w:szCs w:val="20"/>
          <w:color w:val="auto"/>
        </w:rPr>
      </w:pPr>
      <w:r>
        <w:rPr>
          <w:rFonts w:ascii="Times New Roman" w:cs="Times New Roman" w:eastAsia="Times New Roman" w:hAnsi="Times New Roman"/>
          <w:sz w:val="28"/>
          <w:szCs w:val="28"/>
          <w:color w:val="auto"/>
        </w:rPr>
        <w:t>2.Технічну</w:t>
        <w:tab/>
        <w:t>документацію</w:t>
        <w:tab/>
        <w:t>із</w:t>
        <w:tab/>
        <w:t>землеустрою</w:t>
        <w:tab/>
        <w:t>щодо</w:t>
        <w:tab/>
        <w:t>встановлення</w:t>
      </w:r>
    </w:p>
    <w:p>
      <w:pPr>
        <w:ind w:left="260"/>
        <w:spacing w:after="0"/>
        <w:tabs>
          <w:tab w:leader="none" w:pos="9460" w:val="left"/>
        </w:tabs>
        <w:rPr>
          <w:sz w:val="20"/>
          <w:szCs w:val="20"/>
          <w:color w:val="auto"/>
        </w:rPr>
      </w:pPr>
      <w:r>
        <w:rPr>
          <w:rFonts w:ascii="Times New Roman" w:cs="Times New Roman" w:eastAsia="Times New Roman" w:hAnsi="Times New Roman"/>
          <w:sz w:val="28"/>
          <w:szCs w:val="28"/>
          <w:color w:val="auto"/>
        </w:rPr>
        <w:t>(відновлення) меж земельної ділянки в натурі (на місцевості) подати</w:t>
      </w:r>
      <w:r>
        <w:rPr>
          <w:sz w:val="20"/>
          <w:szCs w:val="20"/>
          <w:color w:val="auto"/>
        </w:rPr>
        <w:tab/>
      </w:r>
      <w:r>
        <w:rPr>
          <w:rFonts w:ascii="Times New Roman" w:cs="Times New Roman" w:eastAsia="Times New Roman" w:hAnsi="Times New Roman"/>
          <w:sz w:val="28"/>
          <w:szCs w:val="28"/>
          <w:color w:val="auto"/>
        </w:rPr>
        <w:t>для</w:t>
      </w:r>
    </w:p>
    <w:p>
      <w:pPr>
        <w:ind w:left="260"/>
        <w:spacing w:after="0"/>
        <w:rPr>
          <w:sz w:val="20"/>
          <w:szCs w:val="20"/>
          <w:color w:val="auto"/>
        </w:rPr>
      </w:pPr>
      <w:r>
        <w:rPr>
          <w:rFonts w:ascii="Times New Roman" w:cs="Times New Roman" w:eastAsia="Times New Roman" w:hAnsi="Times New Roman"/>
          <w:sz w:val="28"/>
          <w:szCs w:val="28"/>
          <w:color w:val="auto"/>
        </w:rPr>
        <w:t>розгляду та затвердження у встановленому законодавством порядку.</w:t>
      </w:r>
    </w:p>
    <w:p>
      <w:pPr>
        <w:ind w:left="960"/>
        <w:spacing w:after="0"/>
        <w:rPr>
          <w:sz w:val="20"/>
          <w:szCs w:val="20"/>
          <w:color w:val="auto"/>
        </w:rPr>
      </w:pPr>
      <w:r>
        <w:rPr>
          <w:rFonts w:ascii="Times New Roman" w:cs="Times New Roman" w:eastAsia="Times New Roman" w:hAnsi="Times New Roman"/>
          <w:sz w:val="28"/>
          <w:szCs w:val="28"/>
          <w:color w:val="auto"/>
        </w:rPr>
        <w:t>3.Копію рішення направити заявнику.</w:t>
      </w:r>
    </w:p>
    <w:p>
      <w:pPr>
        <w:sectPr>
          <w:pgSz w:w="11900" w:h="16840" w:orient="portrait"/>
          <w:cols w:equalWidth="0" w:num="1">
            <w:col w:w="9900"/>
          </w:cols>
          <w:pgMar w:left="1440" w:top="1440" w:right="560" w:bottom="710" w:gutter="0" w:footer="0" w:header="0"/>
          <w:type w:val="continuous"/>
        </w:sectPr>
      </w:pPr>
    </w:p>
    <w:bookmarkStart w:id="1" w:name="page2"/>
    <w:bookmarkEnd w:id="1"/>
    <w:p>
      <w:pPr>
        <w:ind w:left="260" w:firstLine="710"/>
        <w:spacing w:after="0" w:line="289" w:lineRule="auto"/>
        <w:rPr>
          <w:sz w:val="20"/>
          <w:szCs w:val="20"/>
          <w:color w:val="auto"/>
        </w:rPr>
      </w:pPr>
      <w:r>
        <w:rPr>
          <w:rFonts w:ascii="Times New Roman" w:cs="Times New Roman" w:eastAsia="Times New Roman" w:hAnsi="Times New Roman"/>
          <w:sz w:val="27"/>
          <w:szCs w:val="27"/>
          <w:color w:val="auto"/>
        </w:rPr>
        <w:t>4.</w:t>
      </w:r>
      <w:r>
        <w:rPr>
          <w:rFonts w:ascii="Times New Roman" w:cs="Times New Roman" w:eastAsia="Times New Roman" w:hAnsi="Times New Roman"/>
          <w:sz w:val="27"/>
          <w:szCs w:val="27"/>
          <w:color w:val="auto"/>
        </w:rPr>
        <w:t>Контроль за виконанням рішення покласти на постійну комісію з питань</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color w:val="auto"/>
        </w:rPr>
        <w:t>містобудування</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земельних відносин</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екології та сталого розвитку міської ради</w:t>
      </w:r>
      <w:r>
        <w:rPr>
          <w:rFonts w:ascii="Times New Roman" w:cs="Times New Roman" w:eastAsia="Times New Roman" w:hAnsi="Times New Roman"/>
          <w:sz w:val="27"/>
          <w:szCs w:val="27"/>
          <w:color w:val="auto"/>
        </w:rPr>
        <w:t>.</w:t>
      </w:r>
    </w:p>
    <w:p>
      <w:pPr>
        <w:spacing w:after="0" w:line="212" w:lineRule="exact"/>
        <w:rPr>
          <w:sz w:val="20"/>
          <w:szCs w:val="20"/>
          <w:color w:val="auto"/>
        </w:rPr>
      </w:pPr>
    </w:p>
    <w:p>
      <w:pPr>
        <w:ind w:left="260"/>
        <w:spacing w:after="0"/>
        <w:tabs>
          <w:tab w:leader="none" w:pos="6800" w:val="left"/>
        </w:tabs>
        <w:rPr>
          <w:sz w:val="20"/>
          <w:szCs w:val="20"/>
          <w:color w:val="auto"/>
        </w:rPr>
      </w:pPr>
      <w:r>
        <w:rPr>
          <w:rFonts w:ascii="Times New Roman" w:cs="Times New Roman" w:eastAsia="Times New Roman" w:hAnsi="Times New Roman"/>
          <w:sz w:val="28"/>
          <w:szCs w:val="28"/>
          <w:b w:val="1"/>
          <w:bCs w:val="1"/>
          <w:color w:val="auto"/>
        </w:rPr>
        <w:t>Міський голова</w:t>
      </w:r>
      <w:r>
        <w:rPr>
          <w:sz w:val="20"/>
          <w:szCs w:val="20"/>
          <w:color w:val="auto"/>
        </w:rPr>
        <w:tab/>
      </w:r>
      <w:r>
        <w:rPr>
          <w:rFonts w:ascii="Times New Roman" w:cs="Times New Roman" w:eastAsia="Times New Roman" w:hAnsi="Times New Roman"/>
          <w:sz w:val="27"/>
          <w:szCs w:val="27"/>
          <w:b w:val="1"/>
          <w:bCs w:val="1"/>
          <w:color w:val="auto"/>
        </w:rPr>
        <w:t>Володимир ШМАТЬКО</w:t>
      </w:r>
    </w:p>
    <w:sectPr>
      <w:pgSz w:w="11900" w:h="16840" w:orient="portrait"/>
      <w:cols w:equalWidth="0" w:num="1">
        <w:col w:w="9900"/>
      </w:cols>
      <w:pgMar w:left="1440" w:top="1109" w:right="5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2021-02-01T11:00:47Z</dcterms:created>
  <dcterms:modified xsi:type="dcterms:W3CDTF">2021-02-01T11:00:47Z</dcterms:modified>
</cp:coreProperties>
</file>