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836295</wp:posOffset>
            </wp:positionV>
            <wp:extent cx="554990" cy="786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1840" w:right="1580" w:firstLine="1310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ЧОРТКІВСЬКА МІСЬКА РАДА СОРОК ТРЕТЯ СЕСІЯ СЬОМОГО СКЛИКАННЯ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49" w:gutter="0" w:footer="0" w:header="0"/>
        </w:sect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 1200</w:t>
      </w:r>
    </w:p>
    <w:p>
      <w:pPr>
        <w:spacing w:after="0" w:line="57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060" w:space="720"/>
            <w:col w:w="3120"/>
          </w:cols>
          <w:pgMar w:left="1440" w:top="1440" w:right="560" w:bottom="749" w:gutter="0" w:footer="0" w:header="0"/>
          <w:type w:val="continuous"/>
        </w:sectPr>
      </w:pP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040" w:val="left"/>
          <w:tab w:leader="none" w:pos="3100" w:val="left"/>
          <w:tab w:leader="none" w:pos="4580" w:val="left"/>
          <w:tab w:leader="none" w:pos="6820" w:val="left"/>
          <w:tab w:leader="none" w:pos="7300" w:val="left"/>
          <w:tab w:leader="none" w:pos="9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</w:t>
        <w:tab/>
        <w:t>затвердження</w:t>
        <w:tab/>
        <w:t>технічної</w:t>
        <w:tab/>
        <w:t>документації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із</w:t>
        <w:tab/>
        <w:t>землеустрою</w:t>
        <w:tab/>
        <w:t>щодо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49" w:gutter="0" w:footer="0" w:header="0"/>
          <w:type w:val="continuous"/>
        </w:sectPr>
      </w:pP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встановлення (відновлення) меж земельної ділянки в натурі (на місцевості) та передачу в постійне користування релігійній організації «Парафія Святого Рівноапостольного Князя Володимира Великого » Української Православної Церкви Київського Патріархату земельної ділянки площею 1,0000 га для будівництва та обслуговування будівель громадських та релігійних організацій по вул. Князя Володимира Великого в м.Чорткові.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Розглянувши звернення настоятеля релігійної організації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Парафія Святого Рівноапостольного Князя Володимира Великого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УПЦ КП Сенчишина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92, 116, 123, 125, 126, 186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технічну документацію із землеустрою щодо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передати в постійне користування релігійній організації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Парафія Святого Рівноапостольного Князя Володимира Великого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Української Православної Церкви Київського Патріархату земельну ділянку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1,0000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для будівництва та обслуговування будівель громадських та релігійних організацій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Князя Володимира Великого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- 6125510100:01:015:1696.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340" w:right="60" w:firstLine="504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 релігійну організацію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Парафія Святого Рівноапостольного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Князя Володимира Великого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УПЦ КП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500" w:hanging="241"/>
        <w:spacing w:after="0"/>
        <w:tabs>
          <w:tab w:leader="none" w:pos="5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постійного користування на дану земельну ділянку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jc w:val="both"/>
        <w:ind w:left="260" w:hanging="1"/>
        <w:spacing w:after="0" w:line="243" w:lineRule="auto"/>
        <w:tabs>
          <w:tab w:leader="none" w:pos="60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 та дотримуватись встановлених меж земельної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49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both"/>
        <w:ind w:left="260" w:firstLine="706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09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2021-02-01T11:04:19Z</dcterms:created>
  <dcterms:modified xsi:type="dcterms:W3CDTF">2021-02-01T11:04:19Z</dcterms:modified>
</cp:coreProperties>
</file>