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3700145</wp:posOffset>
            </wp:positionH>
            <wp:positionV relativeFrom="page">
              <wp:posOffset>732790</wp:posOffset>
            </wp:positionV>
            <wp:extent cx="600710" cy="8293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4" w:lineRule="exact"/>
        <w:rPr>
          <w:sz w:val="24"/>
          <w:szCs w:val="24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jc w:val="center"/>
        <w:ind w:right="-6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jc w:val="center"/>
        <w:ind w:left="1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СОРОК ТРЕТЯ СЕСІЯ СЬОМОГО СКЛИКАННЯ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760"/>
          </w:cols>
          <w:pgMar w:left="1440" w:top="1440" w:right="700" w:bottom="74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від 26 вересня 2018 року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№ 1219</w:t>
      </w:r>
    </w:p>
    <w:p>
      <w:pPr>
        <w:spacing w:after="0" w:line="568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960" w:space="720"/>
            <w:col w:w="2080"/>
          </w:cols>
          <w:pgMar w:left="1440" w:top="1440" w:right="700" w:bottom="74" w:gutter="0" w:footer="0" w:header="0"/>
          <w:type w:val="continuous"/>
        </w:sect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ind w:left="260" w:right="422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внесення змін до Регламенту Чортківської міської ради VІІ скликання</w:t>
      </w: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jc w:val="both"/>
        <w:ind w:left="260" w:firstLine="916"/>
        <w:spacing w:after="0" w:line="247" w:lineRule="auto"/>
        <w:tabs>
          <w:tab w:leader="none" w:pos="142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метою приведення положень Регламенту Чортківської міської ради VІІ скликання (далі - Регламент) у відповідність до чинного законодавства, відповідно до Законів України «Про доступ до публічної інформації», «Про статус депутатів місцевих рад», керуючись ст. 25, п. 1 ч. 1 ст. 26, ст.ст. 46, 59 Закону України "Про місцеве самоврядування в Україні", міська рада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jc w:val="both"/>
        <w:ind w:left="260" w:firstLine="706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 Внести наступні зміни в додаток 1 до рішення Чортківської міської ради від 05 січня 2016 року №57 «Про затвердження Регламенту Чортківської міської ради VІІ скликання»: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1.1. Викласти пункт 3.3. статті 3 Регламенту у наступній редакції: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jc w:val="both"/>
        <w:ind w:left="260" w:firstLine="1061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«Пленарні засідання Ради, засідання постійних комісій та інших органів Ради проводяться гласно, крім випадків передбачених чинним законодавством, що забезпечується шляхом проведення у залі засідань фото- , відео-, зйомки, звукозапису із застосуванням відповідних технічних засобів, а також транслюванням засідань у мережі Інтернет, транслюванням засідань через гучномовці за межі приміщення Ради, офіційного оприлюднення рішень Ради шляхом обов’язкового розміщення на офіційному веб-порталі Ради, або в інший, визначений відповідним рішенням Ради спосіб.»;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53535"/>
        </w:rPr>
        <w:t xml:space="preserve">1.2. У  пункті 3.4.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статті 3 Регламенту число «10» замінити на число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«20»;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1.3. Викласти пункт 13.13. статті 13 Регламенту у наступній редакції: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jc w:val="both"/>
        <w:ind w:left="260" w:firstLine="1061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«Інформація про скликання сесії Ради оприлюднюється на офіційному веб-сайті Ради.»;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353535"/>
        </w:rPr>
        <w:t xml:space="preserve">1.4.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Викласти пункт 18.9. статі 18 Регламенту у наступній редакції:</w:t>
      </w:r>
    </w:p>
    <w:p>
      <w:pPr>
        <w:sectPr>
          <w:pgSz w:w="11900" w:h="16840" w:orient="portrait"/>
          <w:cols w:equalWidth="0" w:num="1">
            <w:col w:w="9760"/>
          </w:cols>
          <w:pgMar w:left="1440" w:top="1440" w:right="700" w:bottom="74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989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Рішення ради нормативного характеру оприлюднюються 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офіційному веб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сайті Ради не пізніше ніж 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денний термін після їх прийняття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.»;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1.5.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Викласти пункт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30.7.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статті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Регламенту у наступній редакції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both"/>
        <w:ind w:left="260" w:firstLine="432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 рішення повинен мати погоджувальні підписи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візи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):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автора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начальника юридичного відділу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голів профільних постійних депутатських комісій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або їх заступників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секретаря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визначеного секретарем Ради керівника структурного підрозділу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заступника міського голови з питань діяльності виконавчих органів міської ради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відповідно до розподілу 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язків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чи інших посадових осіб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 компетенції яких належить дане питання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.»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1.6.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Пункт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31.2.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статті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Регламенту доповнити текстом наступного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змісту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79" w:lineRule="exact"/>
        <w:rPr>
          <w:sz w:val="20"/>
          <w:szCs w:val="20"/>
          <w:color w:val="auto"/>
        </w:rPr>
      </w:pPr>
    </w:p>
    <w:p>
      <w:pPr>
        <w:jc w:val="both"/>
        <w:ind w:left="260" w:firstLine="989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встановленні результатів голосування до загального складу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міської ради включається міський голова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якщо він бере участь у пленарному засіданні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і враховується його голос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Відкликання власного голосу депутатом Ради чи міським головою не допускається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.»;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1.7.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Викласти пункт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31.3.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31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Регламенту у наступній редакції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both"/>
        <w:ind w:left="260" w:firstLine="989"/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 випадку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якщо проект рішення під час голосування не набрав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необхідної більшості голосів на підтримку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 розгляд Ради виноситься проект рішення про відмову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разі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якщо проект рішення про відмову не набрав необхідної більшості голосів на підтримку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розгляд даного питання переноситься на чергове пленарне засідання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 пропозицією головуючого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секретаря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депутата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що підтримана процедурним рішенням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 рішення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пропозиція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доповнення чи зауваження до проекту рішення можуть бути поставлені на повторне голосування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разі неприйняття рішення після повторного голосування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проект рішення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пропозиція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доповнення чи поправка вважаються відхиленими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.»;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jc w:val="both"/>
        <w:ind w:left="260" w:firstLine="989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1.8.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 пункті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31.6.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статті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Регламенту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відмова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замінити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словом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неможливість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 відповідному відмінку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1.9.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Доповнити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31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Регламенту пунктом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31.9.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наступного змісту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both"/>
        <w:ind w:left="260" w:firstLine="989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Рішення Ради оприлюднюються на офіційному веб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сайті Ради не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пізніше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ніж 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денний термін з моменту їх прийняття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.»;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1.10.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Доповнити пункт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32.2.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статті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Регламенту абзацом наступного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змісту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both"/>
        <w:ind w:left="260" w:firstLine="989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«-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затвердження порядку денного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внесення до нього змін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включення та виключення питань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зміну черговості розгляду питань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);»;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1.11.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Викласти пункт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44.1.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статті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44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Регламенту у наступній редакції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both"/>
        <w:ind w:left="260" w:firstLine="989"/>
        <w:spacing w:after="0" w:line="2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Рішення міської ради набирають чинності через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5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днів з моменту їх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прийняття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якщо не встановлено іншого строку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і вводяться в дію з дня їх підписання головуючим на сесії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.»;</w:t>
      </w:r>
    </w:p>
    <w:p>
      <w:pPr>
        <w:sectPr>
          <w:pgSz w:w="11900" w:h="16840" w:orient="portrait"/>
          <w:cols w:equalWidth="0" w:num="1">
            <w:col w:w="9760"/>
          </w:cols>
          <w:pgMar w:left="1440" w:top="826" w:right="700" w:bottom="151" w:gutter="0" w:footer="0" w:header="0"/>
        </w:sectPr>
      </w:pPr>
    </w:p>
    <w:bookmarkStart w:id="2" w:name="page3"/>
    <w:bookmarkEnd w:id="2"/>
    <w:p>
      <w:pPr>
        <w:ind w:left="260" w:firstLine="989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1.12.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 пункті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47.3.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статті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47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Регламенту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місячний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замінити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словом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двотижневий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 відповідному відмінку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1280" w:hanging="315"/>
        <w:spacing w:after="0"/>
        <w:tabs>
          <w:tab w:leader="none" w:pos="12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Дане рішення опублікувати на офіційному сайті Чортківської міської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jc w:val="both"/>
        <w:ind w:left="260" w:firstLine="705"/>
        <w:spacing w:after="0" w:line="254" w:lineRule="auto"/>
        <w:tabs>
          <w:tab w:leader="none" w:pos="1287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та організацією виконання рішення покласти на секретаря міської ради Дзиндру 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постійну комісію міської ради з питань дотримання законності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охорони громадського порядку та депутатської етики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760"/>
      </w:cols>
      <w:pgMar w:left="1440" w:top="826" w:right="7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З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2"/>
    </w:lvl>
  </w:abstractNum>
  <w:abstractNum w:abstractNumId="2">
    <w:nsid w:val="19495CFF"/>
    <w:multiLevelType w:val="hybridMultilevel"/>
    <w:lvl w:ilvl="0">
      <w:lvlJc w:val="left"/>
      <w:lvlText w:val="%1."/>
      <w:numFmt w:val="decimal"/>
      <w:start w:val="3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2021-02-01T11:06:41Z</dcterms:created>
  <dcterms:modified xsi:type="dcterms:W3CDTF">2021-02-01T11:06:41Z</dcterms:modified>
</cp:coreProperties>
</file>