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3595370</wp:posOffset>
            </wp:positionH>
            <wp:positionV relativeFrom="page">
              <wp:posOffset>606425</wp:posOffset>
            </wp:positionV>
            <wp:extent cx="608330" cy="838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ШОСТОЇ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07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листопада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року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№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1226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Чортків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260" w:right="42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Про підсумки проведення оздоровлення дітей та підлітків в літній період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2018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року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Заслухавши та обговоривши інформацію начальника управління освіти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молоді та спорту Чортківської міської ради Поліщук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 оздоровлення дітей та підлітків в літній період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виконання вимог Закону 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highlight w:val="white"/>
        </w:rPr>
        <w:t xml:space="preserve">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highlight w:val="white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highlight w:val="white"/>
        </w:rPr>
        <w:t>Про оздоровлення та відпочинок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highlight w:val="white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highlight w:val="white"/>
        </w:rPr>
        <w:t xml:space="preserve"> міської програми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Розвитку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освіти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Чорткова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2017-2021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highlight w:val="white"/>
        </w:rPr>
        <w:t>керуючись статтею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highlight w:val="white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highlight w:val="white"/>
        </w:rPr>
        <w:t>Закону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highlight w:val="white"/>
        </w:rPr>
        <w:t xml:space="preserve">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highlight w:val="white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highlight w:val="white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highlight w:val="white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highlight w:val="white"/>
        </w:rPr>
        <w:t xml:space="preserve"> міська рада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-812800</wp:posOffset>
                </wp:positionV>
                <wp:extent cx="2342515" cy="20891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515" cy="20891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310.55pt;margin-top:-64pt;width:184.45pt;height:16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EFEFE" stroked="f"/>
            </w:pict>
          </mc:Fallback>
        </mc:AlternateContent>
      </w: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ind w:left="960"/>
        <w:spacing w:after="0"/>
        <w:tabs>
          <w:tab w:leader="none" w:pos="3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Інформацію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начальника  управління  освіти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  молоді  та  спорту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Чортківської міської ради Поліщук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про проведення  оздоровлення дітей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та підлітків в літній період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прийняти до відома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Фінансовому управлінню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управлінню освіти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молоді та спорту міської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ради при формуванні проекту міського бюджету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 передбачити фінансування витрат на оздоровлення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менше ніж в поточному році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960"/>
        <w:spacing w:after="0"/>
        <w:tabs>
          <w:tab w:leader="none" w:pos="6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в управління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освіти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молоді та спорту міської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заступника міського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голови Тимофія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на постійну комісію міської ради з гуманітарних питань та соціального захисту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2021-02-01T11:16:33Z</dcterms:created>
  <dcterms:modified xsi:type="dcterms:W3CDTF">2021-02-01T11:16:33Z</dcterms:modified>
</cp:coreProperties>
</file>