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3723005</wp:posOffset>
            </wp:positionH>
            <wp:positionV relativeFrom="page">
              <wp:posOffset>560705</wp:posOffset>
            </wp:positionV>
            <wp:extent cx="601980" cy="8305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center"/>
        <w:ind w:right="-11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СОРОК ШОСТА СЕСІЯ СЬОМОГО СКЛИКАННЯ</w:t>
      </w:r>
    </w:p>
    <w:p>
      <w:pPr>
        <w:spacing w:after="0" w:line="249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1" w:lineRule="exact"/>
        <w:rPr>
          <w:sz w:val="24"/>
          <w:szCs w:val="24"/>
          <w:color w:val="auto"/>
        </w:rPr>
      </w:pPr>
    </w:p>
    <w:tbl>
      <w:tblPr>
        <w:tblLayout w:type="fixed"/>
        <w:tblInd w:w="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3"/>
        </w:trPr>
        <w:tc>
          <w:tcPr>
            <w:tcW w:w="52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від листопада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2018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року</w:t>
            </w:r>
          </w:p>
        </w:tc>
        <w:tc>
          <w:tcPr>
            <w:tcW w:w="2940" w:type="dxa"/>
            <w:vAlign w:val="bottom"/>
          </w:tcPr>
          <w:p>
            <w:pPr>
              <w:ind w:left="2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  <w:w w:val="92"/>
              </w:rPr>
              <w:t xml:space="preserve">№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2"/>
              </w:rPr>
              <w:t>1241</w:t>
            </w:r>
          </w:p>
        </w:tc>
      </w:tr>
      <w:tr>
        <w:trPr>
          <w:trHeight w:val="322"/>
        </w:trPr>
        <w:tc>
          <w:tcPr>
            <w:tcW w:w="5220" w:type="dxa"/>
            <w:vAlign w:val="bottom"/>
          </w:tcPr>
          <w:p>
            <w:pPr>
              <w:spacing w:after="0" w:line="32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>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.</w:t>
            </w:r>
            <w:r>
              <w:rPr>
                <w:rFonts w:ascii="Times New Roman" w:cs="Times New Roman" w:eastAsia="Times New Roman" w:hAnsi="Times New Roman"/>
                <w:sz w:val="28"/>
                <w:szCs w:val="28"/>
                <w:b w:val="1"/>
                <w:bCs w:val="1"/>
                <w:color w:val="auto"/>
              </w:rPr>
              <w:t xml:space="preserve"> Чортків</w:t>
            </w: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both"/>
        <w:ind w:left="260" w:right="38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мораторій на публічне використання російськомовного культурного продукту на території м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Чорткова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both"/>
        <w:ind w:left="280" w:firstLine="550"/>
        <w:spacing w:after="0" w:line="235" w:lineRule="auto"/>
        <w:tabs>
          <w:tab w:leader="none" w:pos="1139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метою уникнення ескалації напруги в суспільстві та недопущення розпалювання міжнаціональної ворожнечі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задля захисту українського інформаційного простору від гібридних впливів держави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агресора та подолання наслідків тривалої мовної русифікації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беручи до уваги звернення численні звернення громадської організації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Альтернатива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керуючись Постановою Верховної Ради України 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129-VIII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27.01.2015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Звернення Верховної Ради України до Організації Об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єднаних Націй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Європейського Парламенту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Парламентської Асамблеї Ради Європи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Парламентської Асамблеї НАТО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Парламентської Асамблеї ОБСЄ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Парламентської Асамблеї ГУАМ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національних парламентів держав світу про визнання Російської Федерації державою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агресором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відповідно до статті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217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jc w:val="both"/>
        <w:ind w:left="260" w:firstLine="504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Установити мораторій на публічне використання російськомовного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культурного продукту в будь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яких формах на території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 до моменту повного припинення окупації території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67" w:lineRule="exact"/>
        <w:rPr>
          <w:sz w:val="24"/>
          <w:szCs w:val="24"/>
          <w:color w:val="auto"/>
        </w:rPr>
      </w:pPr>
    </w:p>
    <w:p>
      <w:pPr>
        <w:jc w:val="both"/>
        <w:ind w:left="260" w:firstLine="570"/>
        <w:spacing w:after="0" w:line="231" w:lineRule="auto"/>
        <w:tabs>
          <w:tab w:leader="none" w:pos="116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Доручити міській раді вжити заходів щодо створення міжвідомчої робочої групи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 участю громадськості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правоохоронних органів та працівників виконавчих органів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 –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 метою проведення систематичної роз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яснювальної роботи для фізичних та юридичних осіб про мораторій на публічне використання російськомовного культурного продукту на території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ectPr>
          <w:pgSz w:w="11900" w:h="16840" w:orient="portrait"/>
          <w:cols w:equalWidth="0" w:num="1">
            <w:col w:w="9760"/>
          </w:cols>
          <w:pgMar w:left="1440" w:top="1440" w:right="700" w:bottom="1440" w:gutter="0" w:footer="0" w:header="0"/>
        </w:sectPr>
      </w:pPr>
    </w:p>
    <w:bookmarkStart w:id="1" w:name="page2"/>
    <w:bookmarkEnd w:id="1"/>
    <w:p>
      <w:pPr>
        <w:jc w:val="both"/>
        <w:ind w:left="260" w:firstLine="566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Рекомендувати міжвідомчій робочій групі прийняти до уваги список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осіб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які створюють загрозу національній безпеці складених Міністерством культури України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додається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jc w:val="both"/>
        <w:ind w:left="260" w:firstLine="566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заступника міського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голови з питань діяльності виконавчих органів міської ради Тимофія Р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на постійну комісію міської ради з питань дотримання законності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охорони громадського порядку і депутатської етики та з гуманітарних питань та соціального захисту громадян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4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760"/>
      </w:cols>
      <w:pgMar w:left="1440" w:top="909" w:right="7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З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%1."/>
      <w:numFmt w:val="decimal"/>
      <w:start w:val="2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2021-02-01T11:16:53Z</dcterms:created>
  <dcterms:modified xsi:type="dcterms:W3CDTF">2021-02-01T11:16:53Z</dcterms:modified>
</cp:coreProperties>
</file>