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DF9" w:rsidRPr="00224D46" w:rsidRDefault="00D72DF9" w:rsidP="00D72DF9">
      <w:pPr>
        <w:pStyle w:val="ShapkaDocumentu"/>
        <w:spacing w:after="0"/>
        <w:ind w:left="0"/>
        <w:jc w:val="left"/>
        <w:rPr>
          <w:rFonts w:ascii="Times New Roman" w:hAnsi="Times New Roman"/>
          <w:b/>
          <w:sz w:val="28"/>
          <w:szCs w:val="28"/>
        </w:rPr>
      </w:pPr>
      <w:r w:rsidRPr="00224D46">
        <w:rPr>
          <w:rFonts w:ascii="Times New Roman" w:hAnsi="Times New Roman"/>
          <w:sz w:val="28"/>
          <w:szCs w:val="28"/>
          <w:lang w:val="ru-RU"/>
        </w:rPr>
        <w:t xml:space="preserve">                                                                  </w:t>
      </w:r>
      <w:r>
        <w:rPr>
          <w:rFonts w:ascii="Times New Roman" w:hAnsi="Times New Roman"/>
          <w:sz w:val="28"/>
          <w:szCs w:val="28"/>
          <w:lang w:val="ru-RU"/>
        </w:rPr>
        <w:t xml:space="preserve">                </w:t>
      </w:r>
      <w:r w:rsidRPr="00224D46">
        <w:rPr>
          <w:rFonts w:ascii="Times New Roman" w:hAnsi="Times New Roman"/>
          <w:b/>
          <w:sz w:val="28"/>
          <w:szCs w:val="28"/>
        </w:rPr>
        <w:t>Додаток 3</w:t>
      </w:r>
      <w:r w:rsidRPr="00224D46">
        <w:rPr>
          <w:rFonts w:ascii="Times New Roman" w:hAnsi="Times New Roman"/>
          <w:b/>
          <w:sz w:val="28"/>
          <w:szCs w:val="28"/>
        </w:rPr>
        <w:br/>
        <w:t xml:space="preserve">                                                      </w:t>
      </w:r>
      <w:r>
        <w:rPr>
          <w:rFonts w:ascii="Times New Roman" w:hAnsi="Times New Roman"/>
          <w:b/>
          <w:sz w:val="28"/>
          <w:szCs w:val="28"/>
        </w:rPr>
        <w:t xml:space="preserve">                            </w:t>
      </w:r>
      <w:r w:rsidRPr="00224D46">
        <w:rPr>
          <w:rFonts w:ascii="Times New Roman" w:hAnsi="Times New Roman"/>
          <w:b/>
          <w:sz w:val="28"/>
          <w:szCs w:val="28"/>
        </w:rPr>
        <w:t xml:space="preserve">до рішення  міської ради </w:t>
      </w:r>
    </w:p>
    <w:p w:rsidR="00D72DF9" w:rsidRPr="00224D46" w:rsidRDefault="00D72DF9" w:rsidP="00D72DF9">
      <w:pPr>
        <w:pStyle w:val="ShapkaDocumentu"/>
        <w:spacing w:after="0"/>
        <w:ind w:left="0"/>
        <w:jc w:val="left"/>
        <w:rPr>
          <w:rFonts w:ascii="Times New Roman" w:hAnsi="Times New Roman"/>
          <w:b/>
          <w:sz w:val="28"/>
          <w:szCs w:val="28"/>
        </w:rPr>
      </w:pPr>
      <w:r w:rsidRPr="00224D46">
        <w:rPr>
          <w:rFonts w:ascii="Times New Roman" w:hAnsi="Times New Roman"/>
          <w:b/>
          <w:sz w:val="28"/>
          <w:szCs w:val="28"/>
        </w:rPr>
        <w:t xml:space="preserve">                                                                             </w:t>
      </w:r>
      <w:r>
        <w:rPr>
          <w:rFonts w:ascii="Times New Roman" w:hAnsi="Times New Roman"/>
          <w:b/>
          <w:sz w:val="28"/>
          <w:szCs w:val="28"/>
        </w:rPr>
        <w:t xml:space="preserve">    </w:t>
      </w:r>
      <w:r w:rsidRPr="00224D46">
        <w:rPr>
          <w:rFonts w:ascii="Times New Roman" w:hAnsi="Times New Roman"/>
          <w:b/>
          <w:sz w:val="28"/>
          <w:szCs w:val="28"/>
        </w:rPr>
        <w:t xml:space="preserve"> від  26 червня 2019 р  №1508</w:t>
      </w:r>
    </w:p>
    <w:p w:rsidR="00D72DF9" w:rsidRDefault="00D72DF9" w:rsidP="00D72DF9">
      <w:pPr>
        <w:pStyle w:val="a5"/>
        <w:outlineLvl w:val="3"/>
        <w:rPr>
          <w:b w:val="0"/>
        </w:rPr>
      </w:pPr>
    </w:p>
    <w:p w:rsidR="00D72DF9" w:rsidRDefault="00D72DF9" w:rsidP="00D72DF9">
      <w:pPr>
        <w:pStyle w:val="a5"/>
        <w:outlineLvl w:val="3"/>
      </w:pPr>
    </w:p>
    <w:p w:rsidR="00D72DF9" w:rsidRDefault="00D72DF9" w:rsidP="00D72DF9">
      <w:pPr>
        <w:pStyle w:val="a5"/>
        <w:outlineLvl w:val="3"/>
      </w:pPr>
    </w:p>
    <w:p w:rsidR="00F23210" w:rsidRPr="00D850F0" w:rsidRDefault="00F23210" w:rsidP="00F23210">
      <w:pPr>
        <w:pStyle w:val="a5"/>
        <w:outlineLvl w:val="3"/>
        <w:rPr>
          <w:b w:val="0"/>
          <w:color w:val="FF6600"/>
          <w:lang w:val="ru-RU"/>
        </w:rPr>
      </w:pPr>
    </w:p>
    <w:p w:rsidR="00F23210" w:rsidRPr="00D850F0" w:rsidRDefault="00F23210" w:rsidP="00F23210">
      <w:pPr>
        <w:pStyle w:val="a5"/>
        <w:outlineLvl w:val="3"/>
      </w:pPr>
      <w:r w:rsidRPr="00D850F0">
        <w:t>ЕЛЕМЕНТИ</w:t>
      </w:r>
    </w:p>
    <w:p w:rsidR="00F23210" w:rsidRPr="00D850F0" w:rsidRDefault="00F23210" w:rsidP="00F23210">
      <w:pPr>
        <w:pStyle w:val="a5"/>
        <w:outlineLvl w:val="3"/>
      </w:pPr>
      <w:r w:rsidRPr="00D850F0">
        <w:t>визначення податку на нерухоме майно,</w:t>
      </w:r>
    </w:p>
    <w:p w:rsidR="00F23210" w:rsidRPr="00D850F0" w:rsidRDefault="00F23210" w:rsidP="00F23210">
      <w:pPr>
        <w:pStyle w:val="a5"/>
        <w:outlineLvl w:val="3"/>
      </w:pPr>
      <w:r w:rsidRPr="00D850F0">
        <w:t>відмінне від земельної ділянки в місті Чорткові</w:t>
      </w:r>
    </w:p>
    <w:p w:rsidR="00F23210" w:rsidRDefault="00F23210" w:rsidP="00F23210">
      <w:pPr>
        <w:pStyle w:val="a5"/>
        <w:spacing w:line="0" w:lineRule="atLeast"/>
        <w:jc w:val="left"/>
        <w:outlineLvl w:val="3"/>
        <w:rPr>
          <w:b w:val="0"/>
        </w:rPr>
      </w:pPr>
    </w:p>
    <w:p w:rsidR="00F23210" w:rsidRPr="00482C29" w:rsidRDefault="00F23210" w:rsidP="00F23210">
      <w:pPr>
        <w:pStyle w:val="a5"/>
        <w:spacing w:line="0" w:lineRule="atLeast"/>
        <w:jc w:val="left"/>
        <w:outlineLvl w:val="3"/>
        <w:rPr>
          <w:b w:val="0"/>
        </w:rPr>
      </w:pPr>
      <w:r w:rsidRPr="00482C29">
        <w:rPr>
          <w:b w:val="0"/>
        </w:rPr>
        <w:t>1.Платники податку</w:t>
      </w:r>
    </w:p>
    <w:p w:rsidR="00F23210" w:rsidRPr="00482C29" w:rsidRDefault="00F23210" w:rsidP="00F23210">
      <w:pPr>
        <w:spacing w:after="0" w:line="0" w:lineRule="atLeast"/>
        <w:jc w:val="both"/>
        <w:rPr>
          <w:rFonts w:ascii="Times New Roman" w:hAnsi="Times New Roman"/>
          <w:sz w:val="28"/>
          <w:szCs w:val="28"/>
        </w:rPr>
      </w:pPr>
      <w:r w:rsidRPr="00482C29">
        <w:rPr>
          <w:rFonts w:ascii="Times New Roman" w:hAnsi="Times New Roman"/>
          <w:sz w:val="28"/>
          <w:szCs w:val="28"/>
        </w:rPr>
        <w:t>Платниками податку є фізичні та юридичні особи, в тому числі нерезиденти, які є власниками об'єктів житлової та/або нежитлової нерухомості.</w:t>
      </w:r>
    </w:p>
    <w:p w:rsidR="00F23210" w:rsidRPr="00482C29" w:rsidRDefault="00F23210" w:rsidP="00F23210">
      <w:pPr>
        <w:spacing w:after="0" w:line="0" w:lineRule="atLeast"/>
        <w:jc w:val="both"/>
        <w:rPr>
          <w:rFonts w:ascii="Times New Roman" w:hAnsi="Times New Roman"/>
          <w:sz w:val="28"/>
          <w:szCs w:val="28"/>
        </w:rPr>
      </w:pPr>
      <w:r w:rsidRPr="00482C29">
        <w:rPr>
          <w:rFonts w:ascii="Times New Roman" w:hAnsi="Times New Roman"/>
          <w:sz w:val="28"/>
          <w:szCs w:val="28"/>
        </w:rPr>
        <w:t>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w:t>
      </w:r>
    </w:p>
    <w:p w:rsidR="00F23210" w:rsidRPr="00482C29" w:rsidRDefault="00F23210" w:rsidP="00F23210">
      <w:pPr>
        <w:spacing w:after="0" w:line="0" w:lineRule="atLeast"/>
        <w:jc w:val="both"/>
        <w:rPr>
          <w:rFonts w:ascii="Times New Roman" w:hAnsi="Times New Roman"/>
          <w:sz w:val="28"/>
          <w:szCs w:val="28"/>
        </w:rPr>
      </w:pPr>
      <w:r w:rsidRPr="00482C29">
        <w:rPr>
          <w:rFonts w:ascii="Times New Roman" w:hAnsi="Times New Roman"/>
          <w:sz w:val="28"/>
          <w:szCs w:val="28"/>
        </w:rPr>
        <w:t>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w:t>
      </w:r>
    </w:p>
    <w:p w:rsidR="00F23210" w:rsidRPr="00482C29" w:rsidRDefault="00F23210" w:rsidP="00F23210">
      <w:pPr>
        <w:spacing w:after="0" w:line="0" w:lineRule="atLeast"/>
        <w:jc w:val="both"/>
        <w:rPr>
          <w:rFonts w:ascii="Times New Roman" w:hAnsi="Times New Roman"/>
          <w:sz w:val="28"/>
          <w:szCs w:val="28"/>
        </w:rPr>
      </w:pPr>
      <w:r w:rsidRPr="00482C29">
        <w:rPr>
          <w:rFonts w:ascii="Times New Roman" w:hAnsi="Times New Roman"/>
          <w:sz w:val="28"/>
          <w:szCs w:val="28"/>
        </w:rPr>
        <w:t>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w:t>
      </w:r>
    </w:p>
    <w:p w:rsidR="00F23210" w:rsidRPr="00482C29" w:rsidRDefault="00F23210" w:rsidP="00F23210">
      <w:pPr>
        <w:spacing w:after="0" w:line="0" w:lineRule="atLeast"/>
        <w:jc w:val="both"/>
        <w:rPr>
          <w:rFonts w:ascii="Times New Roman" w:hAnsi="Times New Roman"/>
          <w:sz w:val="28"/>
          <w:szCs w:val="28"/>
        </w:rPr>
      </w:pPr>
      <w:r w:rsidRPr="00482C29">
        <w:rPr>
          <w:rFonts w:ascii="Times New Roman" w:hAnsi="Times New Roman"/>
          <w:sz w:val="28"/>
          <w:szCs w:val="28"/>
        </w:rPr>
        <w:t>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p>
    <w:p w:rsidR="00F23210" w:rsidRDefault="00F23210" w:rsidP="00F23210">
      <w:pPr>
        <w:spacing w:after="0" w:line="0" w:lineRule="atLeast"/>
        <w:jc w:val="both"/>
        <w:rPr>
          <w:rFonts w:ascii="Times New Roman" w:hAnsi="Times New Roman"/>
          <w:sz w:val="28"/>
          <w:szCs w:val="28"/>
        </w:rPr>
      </w:pPr>
    </w:p>
    <w:p w:rsidR="00F23210" w:rsidRPr="00482C29" w:rsidRDefault="00F23210" w:rsidP="00F23210">
      <w:pPr>
        <w:spacing w:after="0" w:line="0" w:lineRule="atLeast"/>
        <w:jc w:val="both"/>
        <w:rPr>
          <w:rFonts w:ascii="Times New Roman" w:hAnsi="Times New Roman"/>
          <w:sz w:val="28"/>
          <w:szCs w:val="28"/>
        </w:rPr>
      </w:pPr>
      <w:r w:rsidRPr="00482C29">
        <w:rPr>
          <w:rFonts w:ascii="Times New Roman" w:hAnsi="Times New Roman"/>
          <w:sz w:val="28"/>
          <w:szCs w:val="28"/>
        </w:rPr>
        <w:t>2. Об'єкт оподаткування</w:t>
      </w:r>
    </w:p>
    <w:p w:rsidR="00F23210" w:rsidRPr="00482C29" w:rsidRDefault="00F23210" w:rsidP="00F23210">
      <w:pPr>
        <w:spacing w:after="0" w:line="0" w:lineRule="atLeast"/>
        <w:jc w:val="both"/>
        <w:rPr>
          <w:rFonts w:ascii="Times New Roman" w:hAnsi="Times New Roman"/>
          <w:sz w:val="28"/>
          <w:szCs w:val="28"/>
        </w:rPr>
      </w:pPr>
      <w:r w:rsidRPr="00482C29">
        <w:rPr>
          <w:rFonts w:ascii="Times New Roman" w:hAnsi="Times New Roman"/>
          <w:sz w:val="28"/>
          <w:szCs w:val="28"/>
        </w:rPr>
        <w:t xml:space="preserve">    2.1.Об'єктом оподаткування є об'єкт житлової та нежитлової нерухомості,                  в тому числі його частка.</w:t>
      </w:r>
    </w:p>
    <w:p w:rsidR="00F23210" w:rsidRPr="00482C29" w:rsidRDefault="00F23210" w:rsidP="00F23210">
      <w:pPr>
        <w:spacing w:after="0" w:line="0" w:lineRule="atLeast"/>
        <w:jc w:val="both"/>
        <w:rPr>
          <w:rFonts w:ascii="Times New Roman" w:hAnsi="Times New Roman"/>
          <w:sz w:val="28"/>
          <w:szCs w:val="28"/>
        </w:rPr>
      </w:pPr>
      <w:r>
        <w:rPr>
          <w:rFonts w:ascii="Times New Roman" w:hAnsi="Times New Roman"/>
          <w:sz w:val="28"/>
          <w:szCs w:val="28"/>
        </w:rPr>
        <w:t xml:space="preserve">  </w:t>
      </w:r>
      <w:r w:rsidRPr="00482C29">
        <w:rPr>
          <w:rFonts w:ascii="Times New Roman" w:hAnsi="Times New Roman"/>
          <w:sz w:val="28"/>
          <w:szCs w:val="28"/>
        </w:rPr>
        <w:t xml:space="preserve">  2.2. Не є об'єктом оподаткування:</w:t>
      </w:r>
    </w:p>
    <w:p w:rsidR="00F23210" w:rsidRPr="00482C29" w:rsidRDefault="00F23210" w:rsidP="00F23210">
      <w:pPr>
        <w:spacing w:after="0" w:line="0" w:lineRule="atLeast"/>
        <w:jc w:val="both"/>
        <w:rPr>
          <w:rFonts w:ascii="Times New Roman" w:hAnsi="Times New Roman"/>
          <w:sz w:val="28"/>
          <w:szCs w:val="28"/>
        </w:rPr>
      </w:pPr>
      <w:r w:rsidRPr="00482C29">
        <w:rPr>
          <w:rFonts w:ascii="Times New Roman" w:hAnsi="Times New Roman"/>
          <w:sz w:val="28"/>
          <w:szCs w:val="28"/>
        </w:rPr>
        <w:t>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w:t>
      </w:r>
    </w:p>
    <w:p w:rsidR="00F23210" w:rsidRPr="00482C29" w:rsidRDefault="00F23210" w:rsidP="00F23210">
      <w:pPr>
        <w:spacing w:after="0" w:line="0" w:lineRule="atLeast"/>
        <w:jc w:val="both"/>
        <w:rPr>
          <w:rFonts w:ascii="Times New Roman" w:hAnsi="Times New Roman"/>
          <w:sz w:val="28"/>
          <w:szCs w:val="28"/>
        </w:rPr>
      </w:pPr>
      <w:r w:rsidRPr="00482C29">
        <w:rPr>
          <w:rFonts w:ascii="Times New Roman" w:hAnsi="Times New Roman"/>
          <w:sz w:val="28"/>
          <w:szCs w:val="28"/>
        </w:rPr>
        <w:t>б) будівлі дитячих будинків сімейного типу;</w:t>
      </w:r>
    </w:p>
    <w:p w:rsidR="00F23210" w:rsidRPr="00482C29" w:rsidRDefault="00F23210" w:rsidP="00F23210">
      <w:pPr>
        <w:spacing w:after="0" w:line="0" w:lineRule="atLeast"/>
        <w:jc w:val="both"/>
        <w:rPr>
          <w:rFonts w:ascii="Times New Roman" w:hAnsi="Times New Roman"/>
          <w:sz w:val="28"/>
          <w:szCs w:val="28"/>
        </w:rPr>
      </w:pPr>
      <w:r w:rsidRPr="00482C29">
        <w:rPr>
          <w:rFonts w:ascii="Times New Roman" w:hAnsi="Times New Roman"/>
          <w:sz w:val="28"/>
          <w:szCs w:val="28"/>
        </w:rPr>
        <w:t>в) гуртожитки;</w:t>
      </w:r>
    </w:p>
    <w:p w:rsidR="00F23210" w:rsidRPr="00482C29" w:rsidRDefault="00F23210" w:rsidP="00F23210">
      <w:pPr>
        <w:spacing w:after="0" w:line="0" w:lineRule="atLeast"/>
        <w:jc w:val="both"/>
        <w:rPr>
          <w:rFonts w:ascii="Times New Roman" w:hAnsi="Times New Roman"/>
          <w:sz w:val="28"/>
          <w:szCs w:val="28"/>
        </w:rPr>
      </w:pPr>
      <w:r w:rsidRPr="00482C29">
        <w:rPr>
          <w:rFonts w:ascii="Times New Roman" w:hAnsi="Times New Roman"/>
          <w:sz w:val="28"/>
          <w:szCs w:val="28"/>
        </w:rPr>
        <w:t>ґ) житлова нерухомість непридатна для проживання, в тому числі у зв'язку          з аварійним станом, визнана такою згідно з рішенням  міської ради;</w:t>
      </w:r>
    </w:p>
    <w:p w:rsidR="00F23210" w:rsidRPr="00482C29" w:rsidRDefault="00F23210" w:rsidP="00F23210">
      <w:pPr>
        <w:spacing w:after="0" w:line="0" w:lineRule="atLeast"/>
        <w:jc w:val="both"/>
        <w:rPr>
          <w:rFonts w:ascii="Times New Roman" w:hAnsi="Times New Roman"/>
          <w:sz w:val="28"/>
          <w:szCs w:val="28"/>
        </w:rPr>
      </w:pPr>
      <w:r w:rsidRPr="00482C29">
        <w:rPr>
          <w:rFonts w:ascii="Times New Roman" w:hAnsi="Times New Roman"/>
          <w:sz w:val="28"/>
          <w:szCs w:val="28"/>
        </w:rPr>
        <w:t>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w:t>
      </w:r>
    </w:p>
    <w:p w:rsidR="00F23210" w:rsidRPr="00482C29" w:rsidRDefault="00F23210" w:rsidP="00F23210">
      <w:pPr>
        <w:spacing w:after="0" w:line="0" w:lineRule="atLeast"/>
        <w:jc w:val="both"/>
        <w:rPr>
          <w:rFonts w:ascii="Times New Roman" w:hAnsi="Times New Roman"/>
          <w:sz w:val="28"/>
          <w:szCs w:val="28"/>
        </w:rPr>
      </w:pPr>
      <w:r w:rsidRPr="00482C29">
        <w:rPr>
          <w:rFonts w:ascii="Times New Roman" w:hAnsi="Times New Roman"/>
          <w:sz w:val="28"/>
          <w:szCs w:val="28"/>
        </w:rPr>
        <w:lastRenderedPageBreak/>
        <w:t>е) об'єкти нежитлової нерухомості, які використовуються суб'єктами господарювання малого та середнього бізнесу, що провадять свою діяльність     в тимчасових спорудах та на ринках;</w:t>
      </w:r>
    </w:p>
    <w:p w:rsidR="00F23210" w:rsidRPr="00482C29" w:rsidRDefault="00F23210" w:rsidP="00F23210">
      <w:pPr>
        <w:spacing w:after="0" w:line="0" w:lineRule="atLeast"/>
        <w:jc w:val="both"/>
        <w:rPr>
          <w:rFonts w:ascii="Times New Roman" w:hAnsi="Times New Roman"/>
          <w:sz w:val="28"/>
          <w:szCs w:val="28"/>
        </w:rPr>
      </w:pPr>
      <w:r w:rsidRPr="00482C29">
        <w:rPr>
          <w:rFonts w:ascii="Times New Roman" w:hAnsi="Times New Roman"/>
          <w:sz w:val="28"/>
          <w:szCs w:val="28"/>
        </w:rPr>
        <w:t>є) будівлі промисловості, зокрема виробничі корпуси, цехи, складські приміщення промислових підприємств;</w:t>
      </w:r>
    </w:p>
    <w:p w:rsidR="00F23210" w:rsidRPr="00482C29" w:rsidRDefault="00F23210" w:rsidP="00F23210">
      <w:pPr>
        <w:spacing w:after="0" w:line="0" w:lineRule="atLeast"/>
        <w:jc w:val="both"/>
        <w:rPr>
          <w:rFonts w:ascii="Times New Roman" w:hAnsi="Times New Roman"/>
          <w:sz w:val="28"/>
          <w:szCs w:val="28"/>
        </w:rPr>
      </w:pPr>
      <w:r w:rsidRPr="00482C29">
        <w:rPr>
          <w:rFonts w:ascii="Times New Roman" w:hAnsi="Times New Roman"/>
          <w:sz w:val="28"/>
          <w:szCs w:val="28"/>
        </w:rPr>
        <w:t>ж) будівлі, споруди сільськогосподарських товаровиробників, призначені       для використання безпосередньо у сільськогосподарській діяльності;</w:t>
      </w:r>
    </w:p>
    <w:p w:rsidR="00F23210" w:rsidRPr="00482C29" w:rsidRDefault="00F23210" w:rsidP="00F23210">
      <w:pPr>
        <w:spacing w:after="0" w:line="0" w:lineRule="atLeast"/>
        <w:jc w:val="both"/>
        <w:rPr>
          <w:rFonts w:ascii="Times New Roman" w:hAnsi="Times New Roman"/>
          <w:sz w:val="28"/>
          <w:szCs w:val="28"/>
        </w:rPr>
      </w:pPr>
      <w:r w:rsidRPr="00482C29">
        <w:rPr>
          <w:rFonts w:ascii="Times New Roman" w:hAnsi="Times New Roman"/>
          <w:sz w:val="28"/>
          <w:szCs w:val="28"/>
        </w:rPr>
        <w:t>з) об'єкти житлової та нежитлової нерухомості, які перебувають у власності громадських організацій інвалідів та їх підприємств;</w:t>
      </w:r>
    </w:p>
    <w:p w:rsidR="00F23210" w:rsidRPr="00482C29" w:rsidRDefault="00F23210" w:rsidP="00F23210">
      <w:pPr>
        <w:spacing w:after="0" w:line="0" w:lineRule="atLeast"/>
        <w:jc w:val="both"/>
        <w:rPr>
          <w:rFonts w:ascii="Times New Roman" w:hAnsi="Times New Roman"/>
          <w:sz w:val="28"/>
          <w:szCs w:val="28"/>
        </w:rPr>
      </w:pPr>
      <w:r w:rsidRPr="00482C29">
        <w:rPr>
          <w:rFonts w:ascii="Times New Roman" w:hAnsi="Times New Roman"/>
          <w:sz w:val="28"/>
          <w:szCs w:val="28"/>
        </w:rPr>
        <w:t>и)об’єкти житлової та/або нежитлової нерухомості, що перебувають у власності релігійних організацій України, статути (положення) яких зареєстровані у встановленому законом порядку,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w:t>
      </w:r>
    </w:p>
    <w:p w:rsidR="00F23210" w:rsidRPr="00482C29" w:rsidRDefault="00F23210" w:rsidP="00F23210">
      <w:pPr>
        <w:spacing w:after="0" w:line="0" w:lineRule="atLeast"/>
        <w:jc w:val="both"/>
        <w:rPr>
          <w:rFonts w:ascii="Times New Roman" w:hAnsi="Times New Roman"/>
          <w:sz w:val="28"/>
          <w:szCs w:val="28"/>
        </w:rPr>
      </w:pPr>
      <w:r w:rsidRPr="00482C29">
        <w:rPr>
          <w:rFonts w:ascii="Times New Roman" w:hAnsi="Times New Roman"/>
          <w:sz w:val="28"/>
          <w:szCs w:val="28"/>
        </w:rPr>
        <w:t>і) 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rsidR="00F23210" w:rsidRPr="00482C29" w:rsidRDefault="00F23210" w:rsidP="00F23210">
      <w:pPr>
        <w:spacing w:after="0" w:line="0" w:lineRule="atLeast"/>
        <w:jc w:val="both"/>
        <w:rPr>
          <w:rFonts w:ascii="Times New Roman" w:hAnsi="Times New Roman"/>
          <w:sz w:val="28"/>
          <w:szCs w:val="28"/>
        </w:rPr>
      </w:pPr>
      <w:r w:rsidRPr="00482C29">
        <w:rPr>
          <w:rFonts w:ascii="Times New Roman" w:hAnsi="Times New Roman"/>
          <w:sz w:val="28"/>
          <w:szCs w:val="28"/>
        </w:rPr>
        <w:t>й) господарські (присадибні) будівлі, допоміжні (нежитлові) приміщення,         до яких належать сараї, хліви, гаражі, літні кухні, майстерні, вбиральні, погреби, навіси, котельні, бойлерні, трансформаторні підстанції тощо,              які використовуються за  цільовим призначенням;</w:t>
      </w:r>
    </w:p>
    <w:p w:rsidR="00F23210" w:rsidRPr="00482C29" w:rsidRDefault="00F23210" w:rsidP="00F23210">
      <w:pPr>
        <w:spacing w:after="0" w:line="0" w:lineRule="atLeast"/>
        <w:rPr>
          <w:rFonts w:ascii="Times New Roman" w:hAnsi="Times New Roman"/>
          <w:color w:val="000000"/>
          <w:sz w:val="28"/>
          <w:szCs w:val="28"/>
          <w:shd w:val="clear" w:color="auto" w:fill="FFFFFF"/>
        </w:rPr>
      </w:pPr>
      <w:r w:rsidRPr="00482C29">
        <w:rPr>
          <w:rFonts w:ascii="Times New Roman" w:hAnsi="Times New Roman"/>
          <w:color w:val="000000"/>
          <w:sz w:val="28"/>
          <w:szCs w:val="28"/>
          <w:shd w:val="clear" w:color="auto" w:fill="FFFFFF"/>
        </w:rPr>
        <w:t>к) об’єкти житлової нерухомості, які належать багатодітним або прийомним сім’ям, у яких виховується п’ять та більше дітей.</w:t>
      </w:r>
    </w:p>
    <w:p w:rsidR="00F23210" w:rsidRPr="00482C29" w:rsidRDefault="00F23210" w:rsidP="00F23210">
      <w:pPr>
        <w:pStyle w:val="a3"/>
        <w:shd w:val="clear" w:color="auto" w:fill="FFFFFF"/>
        <w:spacing w:before="0" w:beforeAutospacing="0" w:after="0" w:line="0" w:lineRule="atLeast"/>
        <w:jc w:val="both"/>
        <w:rPr>
          <w:sz w:val="28"/>
          <w:szCs w:val="28"/>
        </w:rPr>
      </w:pPr>
      <w:r w:rsidRPr="00482C29">
        <w:rPr>
          <w:color w:val="000000"/>
          <w:sz w:val="28"/>
          <w:szCs w:val="28"/>
          <w:shd w:val="clear" w:color="auto" w:fill="FFFFFF"/>
        </w:rPr>
        <w:t xml:space="preserve">л) об’єкти житлової нерухомості, які належать   </w:t>
      </w:r>
      <w:r w:rsidRPr="00482C29">
        <w:rPr>
          <w:sz w:val="28"/>
          <w:szCs w:val="28"/>
        </w:rPr>
        <w:t>учасникам АТО або сім'ям загиблих учасників.</w:t>
      </w:r>
    </w:p>
    <w:p w:rsidR="00F23210" w:rsidRPr="00482C29" w:rsidRDefault="00F23210" w:rsidP="00F23210">
      <w:pPr>
        <w:spacing w:after="0" w:line="0" w:lineRule="atLeast"/>
        <w:rPr>
          <w:rFonts w:ascii="Times New Roman" w:hAnsi="Times New Roman"/>
          <w:color w:val="000000"/>
          <w:sz w:val="28"/>
          <w:szCs w:val="28"/>
          <w:shd w:val="clear" w:color="auto" w:fill="FFFFFF"/>
        </w:rPr>
      </w:pPr>
      <w:r w:rsidRPr="00482C29">
        <w:rPr>
          <w:rFonts w:ascii="Times New Roman" w:hAnsi="Times New Roman"/>
          <w:color w:val="000000"/>
          <w:sz w:val="28"/>
          <w:szCs w:val="28"/>
          <w:shd w:val="clear" w:color="auto" w:fill="FFFFFF"/>
        </w:rPr>
        <w:t xml:space="preserve"> </w:t>
      </w:r>
    </w:p>
    <w:p w:rsidR="00F23210" w:rsidRPr="00482C29" w:rsidRDefault="00F23210" w:rsidP="00F23210">
      <w:pPr>
        <w:spacing w:after="0" w:line="0" w:lineRule="atLeast"/>
        <w:jc w:val="both"/>
        <w:rPr>
          <w:rFonts w:ascii="Times New Roman" w:hAnsi="Times New Roman"/>
          <w:sz w:val="28"/>
          <w:szCs w:val="28"/>
        </w:rPr>
      </w:pPr>
      <w:r w:rsidRPr="00482C29">
        <w:rPr>
          <w:rFonts w:ascii="Times New Roman" w:hAnsi="Times New Roman"/>
          <w:sz w:val="28"/>
          <w:szCs w:val="28"/>
        </w:rPr>
        <w:t>3. База оподаткування</w:t>
      </w:r>
    </w:p>
    <w:p w:rsidR="00F23210" w:rsidRDefault="00F23210" w:rsidP="00F23210">
      <w:pPr>
        <w:spacing w:after="0" w:line="0" w:lineRule="atLeast"/>
        <w:jc w:val="both"/>
        <w:rPr>
          <w:rFonts w:ascii="Times New Roman" w:hAnsi="Times New Roman"/>
          <w:sz w:val="28"/>
          <w:szCs w:val="28"/>
        </w:rPr>
      </w:pPr>
    </w:p>
    <w:p w:rsidR="00F23210" w:rsidRPr="00482C29" w:rsidRDefault="00F23210" w:rsidP="00F23210">
      <w:pPr>
        <w:spacing w:after="0" w:line="0" w:lineRule="atLeast"/>
        <w:jc w:val="both"/>
        <w:rPr>
          <w:rFonts w:ascii="Times New Roman" w:hAnsi="Times New Roman"/>
          <w:sz w:val="28"/>
          <w:szCs w:val="28"/>
        </w:rPr>
      </w:pPr>
      <w:r w:rsidRPr="00482C29">
        <w:rPr>
          <w:rFonts w:ascii="Times New Roman" w:hAnsi="Times New Roman"/>
          <w:sz w:val="28"/>
          <w:szCs w:val="28"/>
        </w:rPr>
        <w:t>3.1. Базою оподаткування є загальна площа об'єкта житлової та нежитлової нерухомості, в тому числі його часток.</w:t>
      </w:r>
    </w:p>
    <w:p w:rsidR="00F23210" w:rsidRPr="00482C29" w:rsidRDefault="00F23210" w:rsidP="00F23210">
      <w:pPr>
        <w:spacing w:after="0" w:line="0" w:lineRule="atLeast"/>
        <w:jc w:val="both"/>
        <w:rPr>
          <w:rFonts w:ascii="Times New Roman" w:hAnsi="Times New Roman"/>
          <w:sz w:val="28"/>
          <w:szCs w:val="28"/>
        </w:rPr>
      </w:pPr>
      <w:r w:rsidRPr="00482C29">
        <w:rPr>
          <w:rFonts w:ascii="Times New Roman" w:hAnsi="Times New Roman"/>
          <w:sz w:val="28"/>
          <w:szCs w:val="28"/>
        </w:rPr>
        <w:t>3.2.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F23210" w:rsidRPr="00482C29" w:rsidRDefault="00F23210" w:rsidP="00F23210">
      <w:pPr>
        <w:spacing w:after="0" w:line="0" w:lineRule="atLeast"/>
        <w:jc w:val="both"/>
        <w:rPr>
          <w:rFonts w:ascii="Times New Roman" w:hAnsi="Times New Roman"/>
          <w:sz w:val="28"/>
          <w:szCs w:val="28"/>
        </w:rPr>
      </w:pPr>
      <w:r w:rsidRPr="00482C29">
        <w:rPr>
          <w:rFonts w:ascii="Times New Roman" w:hAnsi="Times New Roman"/>
          <w:sz w:val="28"/>
          <w:szCs w:val="28"/>
        </w:rPr>
        <w:t>3.3.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w:t>
      </w:r>
    </w:p>
    <w:p w:rsidR="00F23210" w:rsidRPr="00482C29" w:rsidRDefault="00F23210" w:rsidP="00F23210">
      <w:pPr>
        <w:spacing w:after="0" w:line="0" w:lineRule="atLeast"/>
        <w:jc w:val="both"/>
        <w:rPr>
          <w:rFonts w:ascii="Times New Roman" w:hAnsi="Times New Roman"/>
          <w:sz w:val="28"/>
          <w:szCs w:val="28"/>
        </w:rPr>
      </w:pPr>
    </w:p>
    <w:p w:rsidR="00F23210" w:rsidRPr="00482C29" w:rsidRDefault="00F23210" w:rsidP="00F23210">
      <w:pPr>
        <w:spacing w:after="0" w:line="0" w:lineRule="atLeast"/>
        <w:jc w:val="both"/>
        <w:rPr>
          <w:rFonts w:ascii="Times New Roman" w:hAnsi="Times New Roman"/>
          <w:sz w:val="28"/>
          <w:szCs w:val="28"/>
        </w:rPr>
      </w:pPr>
      <w:r w:rsidRPr="00482C29">
        <w:rPr>
          <w:rFonts w:ascii="Times New Roman" w:hAnsi="Times New Roman"/>
          <w:sz w:val="28"/>
          <w:szCs w:val="28"/>
        </w:rPr>
        <w:t>4. Пільги із сплати податку</w:t>
      </w:r>
    </w:p>
    <w:p w:rsidR="00F23210" w:rsidRPr="00482C29" w:rsidRDefault="00F23210" w:rsidP="00F23210">
      <w:pPr>
        <w:spacing w:after="0" w:line="0" w:lineRule="atLeast"/>
        <w:jc w:val="both"/>
        <w:rPr>
          <w:rFonts w:ascii="Times New Roman" w:hAnsi="Times New Roman"/>
          <w:sz w:val="28"/>
          <w:szCs w:val="28"/>
        </w:rPr>
      </w:pPr>
      <w:r w:rsidRPr="00482C29">
        <w:rPr>
          <w:rFonts w:ascii="Times New Roman" w:hAnsi="Times New Roman"/>
          <w:sz w:val="28"/>
          <w:szCs w:val="28"/>
        </w:rPr>
        <w:lastRenderedPageBreak/>
        <w:t xml:space="preserve"> База оподаткування об'єкта/об'єктів житлової нерухомості, в тому числі            їх часток, що перебувають у власності фізичної особи платника податку, зменшується:</w:t>
      </w:r>
    </w:p>
    <w:p w:rsidR="00F23210" w:rsidRPr="00482C29" w:rsidRDefault="00F23210" w:rsidP="00F23210">
      <w:pPr>
        <w:spacing w:after="0" w:line="0" w:lineRule="atLeast"/>
        <w:jc w:val="both"/>
        <w:rPr>
          <w:rFonts w:ascii="Times New Roman" w:hAnsi="Times New Roman"/>
          <w:sz w:val="28"/>
          <w:szCs w:val="28"/>
        </w:rPr>
      </w:pPr>
      <w:r w:rsidRPr="00482C29">
        <w:rPr>
          <w:rFonts w:ascii="Times New Roman" w:hAnsi="Times New Roman"/>
          <w:sz w:val="28"/>
          <w:szCs w:val="28"/>
        </w:rPr>
        <w:t xml:space="preserve">а) для квартири/квартир незалежно від їх кількості - на </w:t>
      </w:r>
      <w:smartTag w:uri="urn:schemas-microsoft-com:office:smarttags" w:element="metricconverter">
        <w:smartTagPr>
          <w:attr w:name="ProductID" w:val="60 кв. метрів"/>
        </w:smartTagPr>
        <w:r w:rsidRPr="00482C29">
          <w:rPr>
            <w:rFonts w:ascii="Times New Roman" w:hAnsi="Times New Roman"/>
            <w:sz w:val="28"/>
            <w:szCs w:val="28"/>
          </w:rPr>
          <w:t>60 кв. метрів</w:t>
        </w:r>
      </w:smartTag>
      <w:r w:rsidRPr="00482C29">
        <w:rPr>
          <w:rFonts w:ascii="Times New Roman" w:hAnsi="Times New Roman"/>
          <w:sz w:val="28"/>
          <w:szCs w:val="28"/>
        </w:rPr>
        <w:t>;</w:t>
      </w:r>
    </w:p>
    <w:p w:rsidR="00F23210" w:rsidRPr="00482C29" w:rsidRDefault="00F23210" w:rsidP="00F23210">
      <w:pPr>
        <w:spacing w:after="0" w:line="0" w:lineRule="atLeast"/>
        <w:jc w:val="both"/>
        <w:rPr>
          <w:rFonts w:ascii="Times New Roman" w:hAnsi="Times New Roman"/>
          <w:sz w:val="28"/>
          <w:szCs w:val="28"/>
        </w:rPr>
      </w:pPr>
      <w:r w:rsidRPr="00482C29">
        <w:rPr>
          <w:rFonts w:ascii="Times New Roman" w:hAnsi="Times New Roman"/>
          <w:sz w:val="28"/>
          <w:szCs w:val="28"/>
        </w:rPr>
        <w:t xml:space="preserve">б) для житлового будинку/будинків незалежно від їх кількості - на </w:t>
      </w:r>
      <w:smartTag w:uri="urn:schemas-microsoft-com:office:smarttags" w:element="metricconverter">
        <w:smartTagPr>
          <w:attr w:name="ProductID" w:val="120 кв. метрів"/>
        </w:smartTagPr>
        <w:r w:rsidRPr="00482C29">
          <w:rPr>
            <w:rFonts w:ascii="Times New Roman" w:hAnsi="Times New Roman"/>
            <w:sz w:val="28"/>
            <w:szCs w:val="28"/>
          </w:rPr>
          <w:t>120 кв. метрів</w:t>
        </w:r>
      </w:smartTag>
      <w:r w:rsidRPr="00482C29">
        <w:rPr>
          <w:rFonts w:ascii="Times New Roman" w:hAnsi="Times New Roman"/>
          <w:sz w:val="28"/>
          <w:szCs w:val="28"/>
        </w:rPr>
        <w:t>;</w:t>
      </w:r>
    </w:p>
    <w:p w:rsidR="00F23210" w:rsidRPr="00482C29" w:rsidRDefault="00F23210" w:rsidP="00F23210">
      <w:pPr>
        <w:spacing w:after="0" w:line="0" w:lineRule="atLeast"/>
        <w:jc w:val="both"/>
        <w:rPr>
          <w:rFonts w:ascii="Times New Roman" w:hAnsi="Times New Roman"/>
          <w:sz w:val="28"/>
          <w:szCs w:val="28"/>
        </w:rPr>
      </w:pPr>
      <w:r w:rsidRPr="00482C29">
        <w:rPr>
          <w:rFonts w:ascii="Times New Roman" w:hAnsi="Times New Roman"/>
          <w:sz w:val="28"/>
          <w:szCs w:val="28"/>
        </w:rPr>
        <w:t xml:space="preserve">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w:t>
      </w:r>
      <w:smartTag w:uri="urn:schemas-microsoft-com:office:smarttags" w:element="metricconverter">
        <w:smartTagPr>
          <w:attr w:name="ProductID" w:val="180 кв. метрів"/>
        </w:smartTagPr>
        <w:r w:rsidRPr="00482C29">
          <w:rPr>
            <w:rFonts w:ascii="Times New Roman" w:hAnsi="Times New Roman"/>
            <w:sz w:val="28"/>
            <w:szCs w:val="28"/>
          </w:rPr>
          <w:t>180 кв. метрів</w:t>
        </w:r>
      </w:smartTag>
      <w:r w:rsidRPr="00482C29">
        <w:rPr>
          <w:rFonts w:ascii="Times New Roman" w:hAnsi="Times New Roman"/>
          <w:sz w:val="28"/>
          <w:szCs w:val="28"/>
        </w:rPr>
        <w:t>.</w:t>
      </w:r>
    </w:p>
    <w:p w:rsidR="00F23210" w:rsidRPr="00482C29" w:rsidRDefault="00F23210" w:rsidP="00F23210">
      <w:pPr>
        <w:spacing w:after="0" w:line="0" w:lineRule="atLeast"/>
        <w:jc w:val="both"/>
        <w:rPr>
          <w:rFonts w:ascii="Times New Roman" w:hAnsi="Times New Roman"/>
          <w:sz w:val="28"/>
          <w:szCs w:val="28"/>
        </w:rPr>
      </w:pPr>
      <w:r w:rsidRPr="00482C29">
        <w:rPr>
          <w:rFonts w:ascii="Times New Roman" w:hAnsi="Times New Roman"/>
          <w:sz w:val="28"/>
          <w:szCs w:val="28"/>
        </w:rPr>
        <w:t>5. Податковий період</w:t>
      </w:r>
    </w:p>
    <w:p w:rsidR="00F23210" w:rsidRPr="00482C29" w:rsidRDefault="00F23210" w:rsidP="00F23210">
      <w:pPr>
        <w:spacing w:after="0" w:line="0" w:lineRule="atLeast"/>
        <w:jc w:val="both"/>
        <w:rPr>
          <w:rFonts w:ascii="Times New Roman" w:hAnsi="Times New Roman"/>
          <w:sz w:val="28"/>
          <w:szCs w:val="28"/>
        </w:rPr>
      </w:pPr>
    </w:p>
    <w:p w:rsidR="00F23210" w:rsidRPr="00482C29" w:rsidRDefault="00F23210" w:rsidP="00F23210">
      <w:pPr>
        <w:spacing w:after="0" w:line="0" w:lineRule="atLeast"/>
        <w:jc w:val="both"/>
        <w:rPr>
          <w:rFonts w:ascii="Times New Roman" w:hAnsi="Times New Roman"/>
          <w:sz w:val="28"/>
          <w:szCs w:val="28"/>
        </w:rPr>
      </w:pPr>
      <w:r w:rsidRPr="00482C29">
        <w:rPr>
          <w:rFonts w:ascii="Times New Roman" w:hAnsi="Times New Roman"/>
          <w:sz w:val="28"/>
          <w:szCs w:val="28"/>
        </w:rPr>
        <w:t>Базовий податковий (звітний) період дорівнює календарному року.</w:t>
      </w:r>
    </w:p>
    <w:p w:rsidR="00F23210" w:rsidRPr="00482C29" w:rsidRDefault="00F23210" w:rsidP="00F23210">
      <w:pPr>
        <w:spacing w:after="0" w:line="0" w:lineRule="atLeast"/>
        <w:jc w:val="both"/>
        <w:rPr>
          <w:rFonts w:ascii="Times New Roman" w:hAnsi="Times New Roman"/>
          <w:sz w:val="28"/>
          <w:szCs w:val="28"/>
        </w:rPr>
      </w:pPr>
    </w:p>
    <w:p w:rsidR="00F23210" w:rsidRPr="00482C29" w:rsidRDefault="00F23210" w:rsidP="00F23210">
      <w:pPr>
        <w:spacing w:after="0" w:line="0" w:lineRule="atLeast"/>
        <w:jc w:val="both"/>
        <w:rPr>
          <w:rFonts w:ascii="Times New Roman" w:hAnsi="Times New Roman"/>
          <w:sz w:val="28"/>
          <w:szCs w:val="28"/>
        </w:rPr>
      </w:pPr>
      <w:r w:rsidRPr="00482C29">
        <w:rPr>
          <w:rFonts w:ascii="Times New Roman" w:hAnsi="Times New Roman"/>
          <w:sz w:val="28"/>
          <w:szCs w:val="28"/>
        </w:rPr>
        <w:t>6. Порядок обчислення суми податку</w:t>
      </w:r>
    </w:p>
    <w:p w:rsidR="00F23210" w:rsidRPr="00482C29" w:rsidRDefault="00F23210" w:rsidP="00F23210">
      <w:pPr>
        <w:spacing w:after="0" w:line="0" w:lineRule="atLeast"/>
        <w:jc w:val="both"/>
        <w:rPr>
          <w:rFonts w:ascii="Times New Roman" w:hAnsi="Times New Roman"/>
          <w:sz w:val="28"/>
          <w:szCs w:val="28"/>
        </w:rPr>
      </w:pPr>
    </w:p>
    <w:p w:rsidR="00F23210" w:rsidRPr="00482C29" w:rsidRDefault="00F23210" w:rsidP="00F23210">
      <w:pPr>
        <w:spacing w:after="0" w:line="0" w:lineRule="atLeast"/>
        <w:jc w:val="both"/>
        <w:rPr>
          <w:rFonts w:ascii="Times New Roman" w:hAnsi="Times New Roman"/>
          <w:sz w:val="28"/>
          <w:szCs w:val="28"/>
        </w:rPr>
      </w:pPr>
      <w:r w:rsidRPr="00482C29">
        <w:rPr>
          <w:rFonts w:ascii="Times New Roman" w:hAnsi="Times New Roman"/>
          <w:sz w:val="28"/>
          <w:szCs w:val="28"/>
        </w:rPr>
        <w:t>6.1. Обчислення суми податку з об'єкта/об'єктів житлової нерухомості,             які перебувають у власності фізичних осіб, здійснюється у такому порядку:</w:t>
      </w:r>
    </w:p>
    <w:p w:rsidR="00F23210" w:rsidRPr="00482C29" w:rsidRDefault="00F23210" w:rsidP="00F23210">
      <w:pPr>
        <w:spacing w:after="0" w:line="0" w:lineRule="atLeast"/>
        <w:jc w:val="both"/>
        <w:rPr>
          <w:rFonts w:ascii="Times New Roman" w:hAnsi="Times New Roman"/>
          <w:sz w:val="28"/>
          <w:szCs w:val="28"/>
        </w:rPr>
      </w:pPr>
      <w:r w:rsidRPr="00482C29">
        <w:rPr>
          <w:rFonts w:ascii="Times New Roman" w:hAnsi="Times New Roman"/>
          <w:sz w:val="28"/>
          <w:szCs w:val="28"/>
        </w:rPr>
        <w:t xml:space="preserve">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 підпунктів "а" або "б" пункту 4 цього </w:t>
      </w:r>
      <w:r>
        <w:rPr>
          <w:rFonts w:ascii="Times New Roman" w:hAnsi="Times New Roman"/>
          <w:sz w:val="28"/>
          <w:szCs w:val="28"/>
        </w:rPr>
        <w:t>Елемента визначення;</w:t>
      </w:r>
    </w:p>
    <w:p w:rsidR="00F23210" w:rsidRPr="00482C29" w:rsidRDefault="00F23210" w:rsidP="00F23210">
      <w:pPr>
        <w:spacing w:after="0" w:line="0" w:lineRule="atLeast"/>
        <w:jc w:val="both"/>
        <w:rPr>
          <w:rFonts w:ascii="Times New Roman" w:hAnsi="Times New Roman"/>
          <w:sz w:val="28"/>
          <w:szCs w:val="28"/>
        </w:rPr>
      </w:pPr>
      <w:r w:rsidRPr="00482C29">
        <w:rPr>
          <w:rFonts w:ascii="Times New Roman" w:hAnsi="Times New Roman"/>
          <w:sz w:val="28"/>
          <w:szCs w:val="28"/>
        </w:rPr>
        <w:t xml:space="preserve">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 підпунктів "а" або "б" пункту 4 цього </w:t>
      </w:r>
      <w:r>
        <w:rPr>
          <w:rFonts w:ascii="Times New Roman" w:hAnsi="Times New Roman"/>
          <w:sz w:val="28"/>
          <w:szCs w:val="28"/>
        </w:rPr>
        <w:t>Елемента визначення</w:t>
      </w:r>
      <w:r w:rsidRPr="00482C29">
        <w:rPr>
          <w:rFonts w:ascii="Times New Roman" w:hAnsi="Times New Roman"/>
          <w:sz w:val="28"/>
          <w:szCs w:val="28"/>
        </w:rPr>
        <w:t>;</w:t>
      </w:r>
    </w:p>
    <w:p w:rsidR="00F23210" w:rsidRPr="00482C29" w:rsidRDefault="00F23210" w:rsidP="00F23210">
      <w:pPr>
        <w:spacing w:after="0" w:line="0" w:lineRule="atLeast"/>
        <w:jc w:val="both"/>
        <w:rPr>
          <w:rFonts w:ascii="Times New Roman" w:hAnsi="Times New Roman"/>
          <w:sz w:val="28"/>
          <w:szCs w:val="28"/>
        </w:rPr>
      </w:pPr>
      <w:r w:rsidRPr="00482C29">
        <w:rPr>
          <w:rFonts w:ascii="Times New Roman" w:hAnsi="Times New Roman"/>
          <w:sz w:val="28"/>
          <w:szCs w:val="28"/>
        </w:rPr>
        <w:t xml:space="preserve">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 пункту 4 цього </w:t>
      </w:r>
      <w:r>
        <w:rPr>
          <w:rFonts w:ascii="Times New Roman" w:hAnsi="Times New Roman"/>
          <w:sz w:val="28"/>
          <w:szCs w:val="28"/>
        </w:rPr>
        <w:t>Елемента визначення</w:t>
      </w:r>
      <w:r w:rsidRPr="00482C29">
        <w:rPr>
          <w:rFonts w:ascii="Times New Roman" w:hAnsi="Times New Roman"/>
          <w:sz w:val="28"/>
          <w:szCs w:val="28"/>
        </w:rPr>
        <w:t xml:space="preserve">; </w:t>
      </w:r>
    </w:p>
    <w:p w:rsidR="00F23210" w:rsidRPr="00482C29" w:rsidRDefault="00F23210" w:rsidP="00F23210">
      <w:pPr>
        <w:spacing w:after="0" w:line="0" w:lineRule="atLeast"/>
        <w:jc w:val="both"/>
        <w:rPr>
          <w:rFonts w:ascii="Times New Roman" w:hAnsi="Times New Roman"/>
          <w:sz w:val="28"/>
          <w:szCs w:val="28"/>
        </w:rPr>
      </w:pPr>
      <w:r w:rsidRPr="00482C29">
        <w:rPr>
          <w:rFonts w:ascii="Times New Roman" w:hAnsi="Times New Roman"/>
          <w:sz w:val="28"/>
          <w:szCs w:val="28"/>
        </w:rPr>
        <w:t>г) сума податку, обчислена з урахуванням підпунктів 2 і 3 цього пункту, розподіляється контролюючим органом пропорційно до питомої ваги загальної площі кожного з об'єктів житлової нерухомості.</w:t>
      </w:r>
    </w:p>
    <w:p w:rsidR="00F23210" w:rsidRPr="00482C29" w:rsidRDefault="00F23210" w:rsidP="00F23210">
      <w:pPr>
        <w:spacing w:after="0" w:line="0" w:lineRule="atLeast"/>
        <w:jc w:val="both"/>
        <w:rPr>
          <w:rFonts w:ascii="Times New Roman" w:hAnsi="Times New Roman"/>
          <w:sz w:val="28"/>
          <w:szCs w:val="28"/>
        </w:rPr>
      </w:pPr>
      <w:r w:rsidRPr="00482C29">
        <w:rPr>
          <w:rFonts w:ascii="Times New Roman" w:hAnsi="Times New Roman"/>
          <w:color w:val="000000"/>
          <w:sz w:val="28"/>
          <w:szCs w:val="28"/>
          <w:shd w:val="clear" w:color="auto" w:fill="FFFFFF"/>
        </w:rPr>
        <w:t>д) за наявності у власності платника податку об’єкта (об’єктів) житлової нерухомості, у тому числі його частки, що перебуває у власності фізичної        чи юридичної особи - платника податку, загальна площа якого перевищує 300 квадратних метрів (для квартири) та/або 500 квадратних метрів (для будинку), сума податку збільшується на 25000 гривень на рік за кожен такий об’єкт житлової нерухомості (його частку).</w:t>
      </w:r>
    </w:p>
    <w:p w:rsidR="00F23210" w:rsidRPr="00482C29" w:rsidRDefault="00F23210" w:rsidP="00F23210">
      <w:pPr>
        <w:spacing w:after="0" w:line="0" w:lineRule="atLeast"/>
        <w:jc w:val="both"/>
        <w:rPr>
          <w:rFonts w:ascii="Times New Roman" w:hAnsi="Times New Roman"/>
          <w:sz w:val="28"/>
          <w:szCs w:val="28"/>
        </w:rPr>
      </w:pPr>
    </w:p>
    <w:p w:rsidR="00F23210" w:rsidRPr="00482C29" w:rsidRDefault="00F23210" w:rsidP="00F23210">
      <w:pPr>
        <w:spacing w:after="0" w:line="0" w:lineRule="atLeast"/>
        <w:jc w:val="both"/>
        <w:rPr>
          <w:rFonts w:ascii="Times New Roman" w:hAnsi="Times New Roman"/>
          <w:sz w:val="28"/>
          <w:szCs w:val="28"/>
        </w:rPr>
      </w:pPr>
      <w:r w:rsidRPr="00482C29">
        <w:rPr>
          <w:rFonts w:ascii="Times New Roman" w:hAnsi="Times New Roman"/>
          <w:sz w:val="28"/>
          <w:szCs w:val="28"/>
        </w:rPr>
        <w:t xml:space="preserve">6.2. Податкове/податкові повідомлення-рішення про сплату суми/сум податку, обчисленого згідно з пунктом 6.1 цього </w:t>
      </w:r>
      <w:r>
        <w:rPr>
          <w:rFonts w:ascii="Times New Roman" w:hAnsi="Times New Roman"/>
          <w:sz w:val="28"/>
          <w:szCs w:val="28"/>
        </w:rPr>
        <w:t>Елемента визначення</w:t>
      </w:r>
      <w:r w:rsidRPr="00482C29">
        <w:rPr>
          <w:rFonts w:ascii="Times New Roman" w:hAnsi="Times New Roman"/>
          <w:sz w:val="28"/>
          <w:szCs w:val="28"/>
        </w:rPr>
        <w:t xml:space="preserve">, та відповідні платіжні реквізити, зокрема, органів місцевого самоврядування                                           за місцезнаходженням кожного з об'єктів житлової та/або нежитлової нерухомості, надсилаються (вручаються) платнику податку контролюючим </w:t>
      </w:r>
      <w:r w:rsidRPr="00482C29">
        <w:rPr>
          <w:rFonts w:ascii="Times New Roman" w:hAnsi="Times New Roman"/>
          <w:sz w:val="28"/>
          <w:szCs w:val="28"/>
        </w:rPr>
        <w:lastRenderedPageBreak/>
        <w:t>органом за місцем його податкової адреси (місцем реєстрації) до 1 липня року, що настає за базовим податковим (звітним) періодом (роком).</w:t>
      </w:r>
    </w:p>
    <w:p w:rsidR="00F23210" w:rsidRPr="00482C29" w:rsidRDefault="00F23210" w:rsidP="00F23210">
      <w:pPr>
        <w:spacing w:after="0" w:line="0" w:lineRule="atLeast"/>
        <w:jc w:val="both"/>
        <w:rPr>
          <w:rFonts w:ascii="Times New Roman" w:hAnsi="Times New Roman"/>
          <w:sz w:val="28"/>
          <w:szCs w:val="28"/>
        </w:rPr>
      </w:pPr>
    </w:p>
    <w:p w:rsidR="00F23210" w:rsidRPr="00482C29" w:rsidRDefault="00F23210" w:rsidP="00F23210">
      <w:pPr>
        <w:spacing w:after="0" w:line="0" w:lineRule="atLeast"/>
        <w:jc w:val="both"/>
        <w:rPr>
          <w:rFonts w:ascii="Times New Roman" w:hAnsi="Times New Roman"/>
          <w:sz w:val="28"/>
          <w:szCs w:val="28"/>
        </w:rPr>
      </w:pPr>
      <w:r w:rsidRPr="00482C29">
        <w:rPr>
          <w:rFonts w:ascii="Times New Roman" w:hAnsi="Times New Roman"/>
          <w:sz w:val="28"/>
          <w:szCs w:val="28"/>
        </w:rPr>
        <w:t>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F23210" w:rsidRPr="00482C29" w:rsidRDefault="00F23210" w:rsidP="00F23210">
      <w:pPr>
        <w:spacing w:after="0" w:line="0" w:lineRule="atLeast"/>
        <w:jc w:val="both"/>
        <w:rPr>
          <w:rFonts w:ascii="Times New Roman" w:hAnsi="Times New Roman"/>
          <w:sz w:val="28"/>
          <w:szCs w:val="28"/>
        </w:rPr>
      </w:pPr>
    </w:p>
    <w:p w:rsidR="00F23210" w:rsidRPr="00482C29" w:rsidRDefault="00F23210" w:rsidP="00F23210">
      <w:pPr>
        <w:spacing w:after="0" w:line="0" w:lineRule="atLeast"/>
        <w:jc w:val="both"/>
        <w:rPr>
          <w:rFonts w:ascii="Times New Roman" w:hAnsi="Times New Roman"/>
          <w:sz w:val="28"/>
          <w:szCs w:val="28"/>
        </w:rPr>
      </w:pPr>
      <w:r w:rsidRPr="00482C29">
        <w:rPr>
          <w:rFonts w:ascii="Times New Roman" w:hAnsi="Times New Roman"/>
          <w:sz w:val="28"/>
          <w:szCs w:val="28"/>
        </w:rPr>
        <w:t>7. Порядок обчислення сум податку в разі зміни власника об'єкта оподаткування податком</w:t>
      </w:r>
    </w:p>
    <w:p w:rsidR="00F23210" w:rsidRPr="00482C29" w:rsidRDefault="00F23210" w:rsidP="00F23210">
      <w:pPr>
        <w:spacing w:after="0" w:line="0" w:lineRule="atLeast"/>
        <w:jc w:val="both"/>
        <w:rPr>
          <w:rFonts w:ascii="Times New Roman" w:hAnsi="Times New Roman"/>
          <w:sz w:val="28"/>
          <w:szCs w:val="28"/>
        </w:rPr>
      </w:pPr>
      <w:r w:rsidRPr="00482C29">
        <w:rPr>
          <w:rFonts w:ascii="Times New Roman" w:hAnsi="Times New Roman"/>
          <w:sz w:val="28"/>
          <w:szCs w:val="28"/>
        </w:rPr>
        <w:t>7.1.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місяця,в якому він втратив право власності на зазначений об'єкт оподаткування,        а для нового власника - починаючи з місяця, в якому виникло право власності.</w:t>
      </w:r>
    </w:p>
    <w:p w:rsidR="00F23210" w:rsidRPr="00482C29" w:rsidRDefault="00F23210" w:rsidP="00F23210">
      <w:pPr>
        <w:spacing w:after="0" w:line="0" w:lineRule="atLeast"/>
        <w:jc w:val="both"/>
        <w:rPr>
          <w:rFonts w:ascii="Times New Roman" w:hAnsi="Times New Roman"/>
          <w:sz w:val="28"/>
          <w:szCs w:val="28"/>
        </w:rPr>
      </w:pPr>
      <w:r w:rsidRPr="00482C29">
        <w:rPr>
          <w:rFonts w:ascii="Times New Roman" w:hAnsi="Times New Roman"/>
          <w:sz w:val="28"/>
          <w:szCs w:val="28"/>
        </w:rPr>
        <w:t>7.2. Контролюючий орган надсилає податкове повідомлення-рішення новому власнику після отримання інформації про перехід права власності.</w:t>
      </w:r>
    </w:p>
    <w:p w:rsidR="00F23210" w:rsidRPr="00482C29" w:rsidRDefault="00F23210" w:rsidP="00F23210">
      <w:pPr>
        <w:spacing w:after="0" w:line="0" w:lineRule="atLeast"/>
        <w:jc w:val="both"/>
        <w:rPr>
          <w:rFonts w:ascii="Times New Roman" w:hAnsi="Times New Roman"/>
          <w:sz w:val="28"/>
          <w:szCs w:val="28"/>
        </w:rPr>
      </w:pPr>
    </w:p>
    <w:p w:rsidR="00F23210" w:rsidRPr="00482C29" w:rsidRDefault="00F23210" w:rsidP="00F23210">
      <w:pPr>
        <w:spacing w:after="0" w:line="0" w:lineRule="atLeast"/>
        <w:jc w:val="both"/>
        <w:rPr>
          <w:rFonts w:ascii="Times New Roman" w:hAnsi="Times New Roman"/>
          <w:sz w:val="28"/>
          <w:szCs w:val="28"/>
        </w:rPr>
      </w:pPr>
      <w:r w:rsidRPr="00482C29">
        <w:rPr>
          <w:rFonts w:ascii="Times New Roman" w:hAnsi="Times New Roman"/>
          <w:sz w:val="28"/>
          <w:szCs w:val="28"/>
        </w:rPr>
        <w:t>8. Порядок сплати податку</w:t>
      </w:r>
    </w:p>
    <w:p w:rsidR="00F23210" w:rsidRPr="00482C29" w:rsidRDefault="00F23210" w:rsidP="00F23210">
      <w:pPr>
        <w:spacing w:after="0" w:line="0" w:lineRule="atLeast"/>
        <w:jc w:val="both"/>
        <w:rPr>
          <w:rFonts w:ascii="Times New Roman" w:hAnsi="Times New Roman"/>
          <w:sz w:val="28"/>
          <w:szCs w:val="28"/>
        </w:rPr>
      </w:pPr>
      <w:r w:rsidRPr="00482C29">
        <w:rPr>
          <w:rFonts w:ascii="Times New Roman" w:hAnsi="Times New Roman"/>
          <w:sz w:val="28"/>
          <w:szCs w:val="28"/>
        </w:rPr>
        <w:t xml:space="preserve"> Податок сплачується за місцем розташування об'єкта/об'єктів оподаткування     і зараховується до відповідного бюджету згідно з положеннями Бюджетного кодексу України.</w:t>
      </w:r>
    </w:p>
    <w:p w:rsidR="00F23210" w:rsidRPr="00482C29" w:rsidRDefault="00F23210" w:rsidP="00F23210">
      <w:pPr>
        <w:spacing w:after="0" w:line="0" w:lineRule="atLeast"/>
        <w:jc w:val="both"/>
        <w:rPr>
          <w:rFonts w:ascii="Times New Roman" w:hAnsi="Times New Roman"/>
          <w:sz w:val="28"/>
          <w:szCs w:val="28"/>
        </w:rPr>
      </w:pPr>
      <w:r w:rsidRPr="00482C29">
        <w:rPr>
          <w:rFonts w:ascii="Times New Roman" w:hAnsi="Times New Roman"/>
          <w:sz w:val="28"/>
          <w:szCs w:val="28"/>
        </w:rPr>
        <w:t>9. Строки сплати податку</w:t>
      </w:r>
    </w:p>
    <w:p w:rsidR="00F23210" w:rsidRPr="00482C29" w:rsidRDefault="00F23210" w:rsidP="00F23210">
      <w:pPr>
        <w:spacing w:after="0" w:line="0" w:lineRule="atLeast"/>
        <w:jc w:val="both"/>
        <w:rPr>
          <w:rFonts w:ascii="Times New Roman" w:hAnsi="Times New Roman"/>
          <w:sz w:val="28"/>
          <w:szCs w:val="28"/>
        </w:rPr>
      </w:pPr>
    </w:p>
    <w:p w:rsidR="00F23210" w:rsidRPr="00482C29" w:rsidRDefault="00F23210" w:rsidP="00F23210">
      <w:pPr>
        <w:spacing w:after="0" w:line="0" w:lineRule="atLeast"/>
        <w:jc w:val="both"/>
        <w:rPr>
          <w:rFonts w:ascii="Times New Roman" w:hAnsi="Times New Roman"/>
          <w:sz w:val="28"/>
          <w:szCs w:val="28"/>
        </w:rPr>
      </w:pPr>
      <w:r w:rsidRPr="00482C29">
        <w:rPr>
          <w:rFonts w:ascii="Times New Roman" w:hAnsi="Times New Roman"/>
          <w:sz w:val="28"/>
          <w:szCs w:val="28"/>
        </w:rPr>
        <w:t>9.1. Податкове зобов'язання за звітний рік з податку сплачується:</w:t>
      </w:r>
    </w:p>
    <w:p w:rsidR="00F23210" w:rsidRPr="00482C29" w:rsidRDefault="00F23210" w:rsidP="00F23210">
      <w:pPr>
        <w:spacing w:after="0" w:line="0" w:lineRule="atLeast"/>
        <w:jc w:val="both"/>
        <w:rPr>
          <w:rFonts w:ascii="Times New Roman" w:hAnsi="Times New Roman"/>
          <w:sz w:val="28"/>
          <w:szCs w:val="28"/>
        </w:rPr>
      </w:pPr>
    </w:p>
    <w:p w:rsidR="00F23210" w:rsidRPr="00482C29" w:rsidRDefault="00F23210" w:rsidP="00F23210">
      <w:pPr>
        <w:spacing w:after="0" w:line="0" w:lineRule="atLeast"/>
        <w:jc w:val="both"/>
        <w:rPr>
          <w:rFonts w:ascii="Times New Roman" w:hAnsi="Times New Roman"/>
          <w:sz w:val="28"/>
          <w:szCs w:val="28"/>
        </w:rPr>
      </w:pPr>
      <w:r w:rsidRPr="00482C29">
        <w:rPr>
          <w:rFonts w:ascii="Times New Roman" w:hAnsi="Times New Roman"/>
          <w:sz w:val="28"/>
          <w:szCs w:val="28"/>
        </w:rPr>
        <w:t>а) фізичними особами - протягом 60 днів з дня вручення податкового повідомлення-рішення;</w:t>
      </w:r>
    </w:p>
    <w:p w:rsidR="00F23210" w:rsidRPr="00482C29" w:rsidRDefault="00F23210" w:rsidP="00F23210">
      <w:pPr>
        <w:spacing w:after="0" w:line="0" w:lineRule="atLeast"/>
        <w:jc w:val="both"/>
        <w:rPr>
          <w:rFonts w:ascii="Times New Roman" w:hAnsi="Times New Roman"/>
          <w:sz w:val="28"/>
          <w:szCs w:val="28"/>
        </w:rPr>
      </w:pPr>
    </w:p>
    <w:p w:rsidR="00F23210" w:rsidRPr="00482C29" w:rsidRDefault="00F23210" w:rsidP="00F23210">
      <w:pPr>
        <w:spacing w:after="0" w:line="0" w:lineRule="atLeast"/>
        <w:jc w:val="both"/>
        <w:rPr>
          <w:rFonts w:ascii="Times New Roman" w:hAnsi="Times New Roman"/>
          <w:sz w:val="28"/>
          <w:szCs w:val="28"/>
        </w:rPr>
      </w:pPr>
      <w:r w:rsidRPr="00482C29">
        <w:rPr>
          <w:rFonts w:ascii="Times New Roman" w:hAnsi="Times New Roman"/>
          <w:sz w:val="28"/>
          <w:szCs w:val="28"/>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F23210" w:rsidRPr="00482C29" w:rsidRDefault="00F23210" w:rsidP="00F23210">
      <w:pPr>
        <w:spacing w:after="0" w:line="0" w:lineRule="atLeast"/>
        <w:jc w:val="both"/>
        <w:rPr>
          <w:rFonts w:ascii="Times New Roman" w:hAnsi="Times New Roman"/>
          <w:sz w:val="28"/>
          <w:szCs w:val="28"/>
        </w:rPr>
      </w:pPr>
    </w:p>
    <w:p w:rsidR="00F23210" w:rsidRPr="00F23210" w:rsidRDefault="00F23210" w:rsidP="00F23210">
      <w:pPr>
        <w:pStyle w:val="a6"/>
        <w:spacing w:after="0" w:line="0" w:lineRule="atLeast"/>
        <w:jc w:val="both"/>
        <w:rPr>
          <w:sz w:val="28"/>
          <w:szCs w:val="28"/>
          <w:lang w:val="uk-UA"/>
        </w:rPr>
      </w:pPr>
      <w:r w:rsidRPr="00482C29">
        <w:rPr>
          <w:sz w:val="28"/>
          <w:szCs w:val="28"/>
          <w:lang w:val="uk-UA"/>
        </w:rPr>
        <w:t>10</w:t>
      </w:r>
      <w:r w:rsidRPr="00F23210">
        <w:rPr>
          <w:sz w:val="28"/>
          <w:szCs w:val="28"/>
          <w:lang w:val="uk-UA"/>
        </w:rPr>
        <w:t xml:space="preserve">. Контроль за повнотою, правильністю та своєчасністю сплати податку </w:t>
      </w:r>
      <w:r w:rsidRPr="00482C29">
        <w:rPr>
          <w:sz w:val="28"/>
          <w:szCs w:val="28"/>
          <w:lang w:val="uk-UA"/>
        </w:rPr>
        <w:t xml:space="preserve">         </w:t>
      </w:r>
      <w:r w:rsidRPr="00F23210">
        <w:rPr>
          <w:sz w:val="28"/>
          <w:szCs w:val="28"/>
          <w:lang w:val="uk-UA"/>
        </w:rPr>
        <w:t>на нерухоме майно, відмінне від земельної ділянки здійснює</w:t>
      </w:r>
      <w:r w:rsidRPr="00482C29">
        <w:rPr>
          <w:sz w:val="28"/>
          <w:szCs w:val="28"/>
          <w:lang w:val="uk-UA"/>
        </w:rPr>
        <w:t xml:space="preserve"> </w:t>
      </w:r>
      <w:proofErr w:type="spellStart"/>
      <w:r>
        <w:rPr>
          <w:sz w:val="28"/>
          <w:szCs w:val="28"/>
          <w:lang w:val="uk-UA"/>
        </w:rPr>
        <w:t>Чортківське</w:t>
      </w:r>
      <w:proofErr w:type="spellEnd"/>
      <w:r>
        <w:rPr>
          <w:sz w:val="28"/>
          <w:szCs w:val="28"/>
          <w:lang w:val="uk-UA"/>
        </w:rPr>
        <w:t xml:space="preserve"> управління ГУ ДФС в Тернопільській </w:t>
      </w:r>
      <w:r w:rsidRPr="00482C29">
        <w:rPr>
          <w:sz w:val="28"/>
          <w:szCs w:val="28"/>
          <w:lang w:val="uk-UA"/>
        </w:rPr>
        <w:t>області.</w:t>
      </w:r>
    </w:p>
    <w:p w:rsidR="00F23210" w:rsidRPr="00482C29" w:rsidRDefault="00F23210" w:rsidP="00F23210">
      <w:pPr>
        <w:pStyle w:val="StyleZakonu"/>
        <w:spacing w:after="0" w:line="0" w:lineRule="atLeast"/>
        <w:ind w:firstLine="0"/>
        <w:rPr>
          <w:sz w:val="28"/>
          <w:szCs w:val="28"/>
        </w:rPr>
      </w:pPr>
    </w:p>
    <w:p w:rsidR="00F23210" w:rsidRPr="00482C29" w:rsidRDefault="00F23210" w:rsidP="00F23210">
      <w:pPr>
        <w:spacing w:after="0" w:line="0" w:lineRule="atLeast"/>
        <w:jc w:val="both"/>
        <w:rPr>
          <w:rFonts w:ascii="Times New Roman" w:hAnsi="Times New Roman"/>
          <w:sz w:val="28"/>
          <w:szCs w:val="28"/>
        </w:rPr>
      </w:pPr>
    </w:p>
    <w:p w:rsidR="00F23210" w:rsidRPr="00482C29" w:rsidRDefault="00F23210" w:rsidP="00F23210">
      <w:pPr>
        <w:pStyle w:val="a4"/>
        <w:spacing w:before="0" w:line="0" w:lineRule="atLeast"/>
        <w:ind w:firstLine="0"/>
        <w:jc w:val="both"/>
        <w:rPr>
          <w:rFonts w:ascii="Times New Roman" w:hAnsi="Times New Roman"/>
          <w:b/>
          <w:sz w:val="28"/>
          <w:szCs w:val="28"/>
        </w:rPr>
      </w:pPr>
      <w:proofErr w:type="spellStart"/>
      <w:r>
        <w:rPr>
          <w:rFonts w:ascii="Times New Roman" w:hAnsi="Times New Roman"/>
          <w:b/>
          <w:sz w:val="28"/>
          <w:szCs w:val="28"/>
          <w:lang w:val="ru-RU"/>
        </w:rPr>
        <w:t>Секретар</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міської</w:t>
      </w:r>
      <w:proofErr w:type="spellEnd"/>
      <w:r>
        <w:rPr>
          <w:rFonts w:ascii="Times New Roman" w:hAnsi="Times New Roman"/>
          <w:b/>
          <w:sz w:val="28"/>
          <w:szCs w:val="28"/>
          <w:lang w:val="ru-RU"/>
        </w:rPr>
        <w:t xml:space="preserve">  </w:t>
      </w:r>
      <w:r w:rsidRPr="0083110F">
        <w:rPr>
          <w:rFonts w:ascii="Times New Roman" w:hAnsi="Times New Roman"/>
          <w:b/>
          <w:sz w:val="28"/>
          <w:szCs w:val="28"/>
          <w:lang w:val="ru-RU"/>
        </w:rPr>
        <w:t xml:space="preserve">ради </w:t>
      </w:r>
      <w:r>
        <w:rPr>
          <w:rFonts w:ascii="Times New Roman" w:hAnsi="Times New Roman"/>
          <w:b/>
          <w:sz w:val="28"/>
          <w:szCs w:val="28"/>
          <w:lang w:val="ru-RU"/>
        </w:rPr>
        <w:t xml:space="preserve">                                                   </w:t>
      </w:r>
      <w:r w:rsidRPr="0083110F">
        <w:rPr>
          <w:rFonts w:ascii="Times New Roman" w:hAnsi="Times New Roman"/>
          <w:b/>
          <w:sz w:val="28"/>
          <w:szCs w:val="28"/>
          <w:lang w:val="ru-RU"/>
        </w:rPr>
        <w:t xml:space="preserve">  Я</w:t>
      </w:r>
      <w:r>
        <w:rPr>
          <w:rFonts w:ascii="Times New Roman" w:hAnsi="Times New Roman"/>
          <w:b/>
          <w:sz w:val="28"/>
          <w:szCs w:val="28"/>
          <w:lang w:val="ru-RU"/>
        </w:rPr>
        <w:t xml:space="preserve">рослав </w:t>
      </w:r>
      <w:r w:rsidRPr="0083110F">
        <w:rPr>
          <w:rFonts w:ascii="Times New Roman" w:hAnsi="Times New Roman"/>
          <w:b/>
          <w:sz w:val="28"/>
          <w:szCs w:val="28"/>
          <w:lang w:val="ru-RU"/>
        </w:rPr>
        <w:t>ДЗИНДРА</w:t>
      </w:r>
    </w:p>
    <w:p w:rsidR="00F23210" w:rsidRDefault="00F23210" w:rsidP="00D72DF9">
      <w:pPr>
        <w:pStyle w:val="a5"/>
        <w:outlineLvl w:val="3"/>
      </w:pPr>
    </w:p>
    <w:p w:rsidR="00F23210" w:rsidRDefault="00F23210" w:rsidP="00D72DF9">
      <w:pPr>
        <w:pStyle w:val="a5"/>
        <w:outlineLvl w:val="3"/>
      </w:pPr>
    </w:p>
    <w:p w:rsidR="00F23210" w:rsidRDefault="00F23210" w:rsidP="00D72DF9">
      <w:pPr>
        <w:pStyle w:val="a5"/>
        <w:outlineLvl w:val="3"/>
      </w:pPr>
    </w:p>
    <w:p w:rsidR="00F23210" w:rsidRDefault="00F23210" w:rsidP="00D72DF9">
      <w:pPr>
        <w:pStyle w:val="a5"/>
        <w:outlineLvl w:val="3"/>
      </w:pPr>
    </w:p>
    <w:p w:rsidR="00F23210" w:rsidRDefault="00F23210" w:rsidP="00D72DF9">
      <w:pPr>
        <w:pStyle w:val="a5"/>
        <w:outlineLvl w:val="3"/>
      </w:pPr>
    </w:p>
    <w:p w:rsidR="00F23210" w:rsidRDefault="00F23210" w:rsidP="00D72DF9">
      <w:pPr>
        <w:pStyle w:val="a5"/>
        <w:outlineLvl w:val="3"/>
      </w:pPr>
    </w:p>
    <w:p w:rsidR="00F23210" w:rsidRDefault="00F23210" w:rsidP="00D72DF9">
      <w:pPr>
        <w:pStyle w:val="a5"/>
        <w:outlineLvl w:val="3"/>
      </w:pPr>
    </w:p>
    <w:p w:rsidR="00F23210" w:rsidRDefault="00F23210" w:rsidP="00D72DF9">
      <w:pPr>
        <w:pStyle w:val="a5"/>
        <w:outlineLvl w:val="3"/>
      </w:pPr>
    </w:p>
    <w:p w:rsidR="00F23210" w:rsidRDefault="00F23210" w:rsidP="00D72DF9">
      <w:pPr>
        <w:pStyle w:val="a5"/>
        <w:outlineLvl w:val="3"/>
      </w:pPr>
    </w:p>
    <w:p w:rsidR="00F23210" w:rsidRDefault="00F23210" w:rsidP="00D72DF9">
      <w:pPr>
        <w:pStyle w:val="a5"/>
        <w:outlineLvl w:val="3"/>
      </w:pPr>
    </w:p>
    <w:p w:rsidR="00F23210" w:rsidRDefault="00F23210" w:rsidP="00D72DF9">
      <w:pPr>
        <w:pStyle w:val="a5"/>
        <w:outlineLvl w:val="3"/>
      </w:pPr>
    </w:p>
    <w:sectPr w:rsidR="00F23210" w:rsidSect="00224D46">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72DF9"/>
    <w:rsid w:val="008C49B2"/>
    <w:rsid w:val="00B46776"/>
    <w:rsid w:val="00D72DF9"/>
    <w:rsid w:val="00F2321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9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 Знак"/>
    <w:basedOn w:val="a"/>
    <w:link w:val="1"/>
    <w:rsid w:val="00D72DF9"/>
    <w:pPr>
      <w:spacing w:before="100" w:beforeAutospacing="1" w:after="119" w:line="240" w:lineRule="auto"/>
    </w:pPr>
    <w:rPr>
      <w:rFonts w:ascii="Calibri" w:eastAsia="Calibri" w:hAnsi="Calibri" w:cs="Times New Roman"/>
      <w:sz w:val="24"/>
      <w:szCs w:val="24"/>
    </w:rPr>
  </w:style>
  <w:style w:type="character" w:customStyle="1" w:styleId="1">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Знак Знак,Обычный (веб) Знак2 Знак,Обычный (веб) Знак1 Знак Знак"/>
    <w:link w:val="a3"/>
    <w:rsid w:val="00D72DF9"/>
    <w:rPr>
      <w:rFonts w:ascii="Calibri" w:eastAsia="Calibri" w:hAnsi="Calibri" w:cs="Times New Roman"/>
      <w:sz w:val="24"/>
      <w:szCs w:val="24"/>
    </w:rPr>
  </w:style>
  <w:style w:type="paragraph" w:customStyle="1" w:styleId="a4">
    <w:name w:val="Нормальний текст"/>
    <w:basedOn w:val="a"/>
    <w:rsid w:val="00D72DF9"/>
    <w:pPr>
      <w:spacing w:before="120" w:after="0" w:line="240" w:lineRule="auto"/>
      <w:ind w:firstLine="567"/>
    </w:pPr>
    <w:rPr>
      <w:rFonts w:ascii="Antiqua" w:eastAsia="Calibri" w:hAnsi="Antiqua" w:cs="Times New Roman"/>
      <w:sz w:val="26"/>
      <w:szCs w:val="20"/>
      <w:lang w:eastAsia="ru-RU"/>
    </w:rPr>
  </w:style>
  <w:style w:type="paragraph" w:customStyle="1" w:styleId="ShapkaDocumentu">
    <w:name w:val="Shapka Documentu"/>
    <w:basedOn w:val="a"/>
    <w:rsid w:val="00D72DF9"/>
    <w:pPr>
      <w:keepNext/>
      <w:keepLines/>
      <w:spacing w:after="240" w:line="240" w:lineRule="auto"/>
      <w:ind w:left="3969"/>
      <w:jc w:val="center"/>
    </w:pPr>
    <w:rPr>
      <w:rFonts w:ascii="Antiqua" w:eastAsia="Calibri" w:hAnsi="Antiqua" w:cs="Times New Roman"/>
      <w:sz w:val="26"/>
      <w:szCs w:val="20"/>
      <w:lang w:eastAsia="ru-RU"/>
    </w:rPr>
  </w:style>
  <w:style w:type="paragraph" w:customStyle="1" w:styleId="StyleZakonu">
    <w:name w:val="StyleZakonu"/>
    <w:basedOn w:val="a"/>
    <w:rsid w:val="00D72DF9"/>
    <w:pPr>
      <w:spacing w:after="60" w:line="220" w:lineRule="exact"/>
      <w:ind w:firstLine="284"/>
      <w:jc w:val="both"/>
    </w:pPr>
    <w:rPr>
      <w:rFonts w:ascii="Times New Roman" w:eastAsia="Times New Roman" w:hAnsi="Times New Roman" w:cs="Times New Roman"/>
      <w:sz w:val="20"/>
      <w:szCs w:val="20"/>
      <w:lang w:eastAsia="ru-RU"/>
    </w:rPr>
  </w:style>
  <w:style w:type="paragraph" w:customStyle="1" w:styleId="a5">
    <w:name w:val="Розділ"/>
    <w:basedOn w:val="StyleZakonu"/>
    <w:rsid w:val="00D72DF9"/>
    <w:pPr>
      <w:spacing w:after="0" w:line="240" w:lineRule="auto"/>
      <w:ind w:firstLine="0"/>
      <w:jc w:val="center"/>
    </w:pPr>
    <w:rPr>
      <w:b/>
      <w:sz w:val="28"/>
      <w:szCs w:val="28"/>
    </w:rPr>
  </w:style>
  <w:style w:type="paragraph" w:styleId="a6">
    <w:name w:val="Body Text"/>
    <w:basedOn w:val="a"/>
    <w:link w:val="a7"/>
    <w:rsid w:val="00D72DF9"/>
    <w:pPr>
      <w:spacing w:after="120" w:line="240" w:lineRule="auto"/>
    </w:pPr>
    <w:rPr>
      <w:rFonts w:ascii="Times New Roman" w:eastAsia="Times New Roman" w:hAnsi="Times New Roman" w:cs="Times New Roman"/>
      <w:sz w:val="20"/>
      <w:szCs w:val="20"/>
      <w:lang w:val="ru-RU" w:eastAsia="ru-RU"/>
    </w:rPr>
  </w:style>
  <w:style w:type="character" w:customStyle="1" w:styleId="a7">
    <w:name w:val="Основной текст Знак"/>
    <w:basedOn w:val="a0"/>
    <w:link w:val="a6"/>
    <w:rsid w:val="00D72DF9"/>
    <w:rPr>
      <w:rFonts w:ascii="Times New Roman" w:eastAsia="Times New Roman" w:hAnsi="Times New Roman" w:cs="Times New Roman"/>
      <w:sz w:val="20"/>
      <w:szCs w:val="20"/>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6009</Words>
  <Characters>3426</Characters>
  <Application>Microsoft Office Word</Application>
  <DocSecurity>0</DocSecurity>
  <Lines>28</Lines>
  <Paragraphs>18</Paragraphs>
  <ScaleCrop>false</ScaleCrop>
  <Company>Reanimator Extreme Edition</Company>
  <LinksUpToDate>false</LinksUpToDate>
  <CharactersWithSpaces>9417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2019-07-01T05:47:00Z</dcterms:created>
  <dcterms:modified xsi:type="dcterms:W3CDTF">2019-07-03T14:19:00Z</dcterms:modified>
</cp:coreProperties>
</file>