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/>
          <w:sz w:val="28"/>
          <w:szCs w:val="28"/>
        </w:rPr>
      </w:pPr>
    </w:p>
    <w:p w:rsidR="00BE29A3" w:rsidRDefault="00900D33" w:rsidP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29A3" w:rsidRDefault="00900D33" w:rsidP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E29A3" w:rsidRDefault="00900D33" w:rsidP="00900D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900D3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квітня </w:t>
      </w:r>
      <w:r>
        <w:rPr>
          <w:b/>
          <w:color w:val="000000"/>
          <w:sz w:val="28"/>
          <w:szCs w:val="28"/>
        </w:rPr>
        <w:t>2021 року                                                                                         № 228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надання дозволу на розміщення </w:t>
      </w: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зовнішньої реклами – </w:t>
      </w:r>
      <w:proofErr w:type="spellStart"/>
      <w:r>
        <w:rPr>
          <w:b/>
          <w:sz w:val="28"/>
          <w:szCs w:val="28"/>
        </w:rPr>
        <w:t>білборда</w:t>
      </w:r>
      <w:proofErr w:type="spellEnd"/>
      <w:r>
        <w:rPr>
          <w:b/>
          <w:sz w:val="28"/>
          <w:szCs w:val="28"/>
        </w:rPr>
        <w:t xml:space="preserve"> </w:t>
      </w: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вул. </w:t>
      </w:r>
      <w:proofErr w:type="spellStart"/>
      <w:r>
        <w:rPr>
          <w:b/>
          <w:sz w:val="28"/>
          <w:szCs w:val="28"/>
        </w:rPr>
        <w:t>Копичинецька</w:t>
      </w:r>
      <w:proofErr w:type="spellEnd"/>
      <w:r>
        <w:rPr>
          <w:b/>
          <w:sz w:val="28"/>
          <w:szCs w:val="28"/>
        </w:rPr>
        <w:t xml:space="preserve">, 124 </w:t>
      </w:r>
      <w:r>
        <w:rPr>
          <w:b/>
          <w:color w:val="000000"/>
          <w:sz w:val="28"/>
          <w:szCs w:val="28"/>
        </w:rPr>
        <w:t xml:space="preserve">в м. Чортків </w:t>
      </w: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ПП «Чортків Бетон» 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від ПП «Чо</w:t>
      </w:r>
      <w:r>
        <w:rPr>
          <w:sz w:val="28"/>
          <w:szCs w:val="28"/>
        </w:rPr>
        <w:t xml:space="preserve">ртків Бетон» в особі </w:t>
      </w:r>
      <w:proofErr w:type="spellStart"/>
      <w:r>
        <w:rPr>
          <w:sz w:val="28"/>
          <w:szCs w:val="28"/>
        </w:rPr>
        <w:t>Підгірняка</w:t>
      </w:r>
      <w:proofErr w:type="spellEnd"/>
      <w:r>
        <w:rPr>
          <w:sz w:val="28"/>
          <w:szCs w:val="28"/>
        </w:rPr>
        <w:t xml:space="preserve"> Сергія Михайловича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.2021, представлені матеріали та відповідно до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19.02.2016  № 110 «Про затвердження Положення про порядок розміщення реклами на території міста Чорткова та По</w:t>
      </w:r>
      <w:r>
        <w:rPr>
          <w:color w:val="000000"/>
          <w:sz w:val="28"/>
          <w:szCs w:val="28"/>
        </w:rPr>
        <w:t xml:space="preserve">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п. «а» ст. 30 Закону України «Про місцеве самоврядування в Україні, </w:t>
      </w:r>
      <w:r>
        <w:rPr>
          <w:color w:val="000000"/>
          <w:sz w:val="28"/>
          <w:szCs w:val="28"/>
        </w:rPr>
        <w:t>виконавчий комітет міської ради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Надати дозвіл на розміщення зовнішньої реклами </w:t>
      </w:r>
      <w:r>
        <w:rPr>
          <w:sz w:val="28"/>
          <w:szCs w:val="28"/>
        </w:rPr>
        <w:t>ПП «Чортків Бетон»</w:t>
      </w:r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білборда</w:t>
      </w:r>
      <w:proofErr w:type="spellEnd"/>
      <w:r>
        <w:rPr>
          <w:sz w:val="28"/>
          <w:szCs w:val="28"/>
        </w:rPr>
        <w:t xml:space="preserve"> по вул. </w:t>
      </w:r>
      <w:proofErr w:type="spellStart"/>
      <w:r>
        <w:rPr>
          <w:sz w:val="28"/>
          <w:szCs w:val="28"/>
        </w:rPr>
        <w:t>Копичинецька</w:t>
      </w:r>
      <w:proofErr w:type="spellEnd"/>
      <w:r>
        <w:rPr>
          <w:sz w:val="28"/>
          <w:szCs w:val="28"/>
        </w:rPr>
        <w:t>, 124 в м. Чортків.</w:t>
      </w:r>
      <w:r>
        <w:rPr>
          <w:color w:val="000000"/>
          <w:sz w:val="28"/>
          <w:szCs w:val="28"/>
        </w:rPr>
        <w:t xml:space="preserve"> 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ПП «Чортків Бетон»</w:t>
      </w:r>
      <w:r>
        <w:rPr>
          <w:color w:val="000000"/>
          <w:sz w:val="28"/>
          <w:szCs w:val="28"/>
        </w:rPr>
        <w:t xml:space="preserve"> укласти з міською радою Договір про право тимчасового користування місцями (для розміщення рекламних засобів), які перебувають у комунальній власності територіальної громади міста Чорткова.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BE29A3" w:rsidRDefault="00900D33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3. Термін дії даного рішення - п’ять років.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>. Копію рішення на</w:t>
      </w:r>
      <w:r>
        <w:rPr>
          <w:color w:val="000000"/>
          <w:sz w:val="28"/>
          <w:szCs w:val="28"/>
        </w:rPr>
        <w:t>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виконанням даного рішення покласти на начальника відділу архітектури та містобудів</w:t>
      </w:r>
      <w:r>
        <w:rPr>
          <w:color w:val="000000"/>
          <w:sz w:val="28"/>
          <w:szCs w:val="28"/>
        </w:rPr>
        <w:t xml:space="preserve">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E29A3" w:rsidRDefault="00900D3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E29A3" w:rsidRDefault="00BE29A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E29A3" w:rsidSect="00BE29A3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E29A3"/>
    <w:rsid w:val="00900D33"/>
    <w:rsid w:val="00BE2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BE29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BE29A3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BE29A3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BE29A3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BE29A3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BE29A3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BE29A3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29A3"/>
  </w:style>
  <w:style w:type="table" w:customStyle="1" w:styleId="TableNormal">
    <w:name w:val="Table Normal"/>
    <w:rsid w:val="00BE29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E29A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E29A3"/>
  </w:style>
  <w:style w:type="table" w:customStyle="1" w:styleId="TableNormal0">
    <w:name w:val="Table Normal"/>
    <w:rsid w:val="00BE29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autoRedefine/>
    <w:hidden/>
    <w:qFormat/>
    <w:rsid w:val="00BE29A3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BE29A3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BE29A3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BE29A3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BE29A3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BE29A3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BE29A3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BE29A3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BE29A3"/>
    <w:pPr>
      <w:ind w:left="708"/>
    </w:pPr>
  </w:style>
  <w:style w:type="paragraph" w:styleId="ab">
    <w:name w:val="Subtitle"/>
    <w:basedOn w:val="normal0"/>
    <w:next w:val="normal0"/>
    <w:rsid w:val="00BE29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Y5UWX253GUBlnzhAqcDPVkh7ZA==">AMUW2mUMAQnLmESBgOkK2uVK6qgBQarjJV+dpEdiRyMWS23ZYpilLMeFHK+qKtQZYgY0LuZ3lawWe54LId5iftU0tumP1Ex5RBTqAFQA99lsHQ5oJxFgFwg=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1187</Words>
  <Characters>677</Characters>
  <Application>Microsoft Office Word</Application>
  <DocSecurity>0</DocSecurity>
  <Lines>5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3</cp:revision>
  <cp:lastPrinted>2021-04-23T09:56:00Z</cp:lastPrinted>
  <dcterms:created xsi:type="dcterms:W3CDTF">2021-01-26T07:55:00Z</dcterms:created>
  <dcterms:modified xsi:type="dcterms:W3CDTF">2021-04-23T09:58:00Z</dcterms:modified>
</cp:coreProperties>
</file>