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CA" w:rsidRPr="006E51E2" w:rsidRDefault="006E51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216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 xml:space="preserve">Додаток </w:t>
      </w:r>
    </w:p>
    <w:p w:rsidR="001701CA" w:rsidRPr="006E51E2" w:rsidRDefault="006E51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216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 xml:space="preserve">до рішення міської ради </w:t>
      </w:r>
    </w:p>
    <w:p w:rsidR="001701CA" w:rsidRPr="006E51E2" w:rsidRDefault="006E51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216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від</w:t>
      </w:r>
      <w:r w:rsidRPr="006E51E2">
        <w:rPr>
          <w:color w:val="000000" w:themeColor="text1"/>
          <w:sz w:val="28"/>
          <w:szCs w:val="28"/>
        </w:rPr>
        <w:t xml:space="preserve">     </w:t>
      </w:r>
      <w:r w:rsidRPr="006E51E2">
        <w:rPr>
          <w:color w:val="000000" w:themeColor="text1"/>
          <w:sz w:val="28"/>
          <w:szCs w:val="28"/>
        </w:rPr>
        <w:t>202</w:t>
      </w:r>
      <w:r w:rsidRPr="006E51E2">
        <w:rPr>
          <w:color w:val="000000" w:themeColor="text1"/>
          <w:sz w:val="28"/>
          <w:szCs w:val="28"/>
        </w:rPr>
        <w:t>1</w:t>
      </w:r>
      <w:r w:rsidRPr="006E51E2">
        <w:rPr>
          <w:color w:val="000000" w:themeColor="text1"/>
          <w:sz w:val="28"/>
          <w:szCs w:val="28"/>
        </w:rPr>
        <w:t xml:space="preserve"> року № </w:t>
      </w:r>
    </w:p>
    <w:p w:rsidR="001701CA" w:rsidRPr="006E51E2" w:rsidRDefault="001701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 w:themeColor="text1"/>
          <w:sz w:val="28"/>
          <w:szCs w:val="28"/>
        </w:rPr>
      </w:pP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b/>
          <w:color w:val="000000" w:themeColor="text1"/>
          <w:sz w:val="28"/>
          <w:szCs w:val="28"/>
        </w:rPr>
      </w:pPr>
      <w:r w:rsidRPr="006E51E2">
        <w:rPr>
          <w:b/>
          <w:color w:val="000000" w:themeColor="text1"/>
          <w:sz w:val="28"/>
          <w:szCs w:val="28"/>
        </w:rPr>
        <w:t>ПРОГРАМА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5" w:lineRule="auto"/>
        <w:jc w:val="center"/>
        <w:rPr>
          <w:b/>
          <w:color w:val="000000" w:themeColor="text1"/>
          <w:sz w:val="28"/>
          <w:szCs w:val="28"/>
        </w:rPr>
      </w:pPr>
      <w:r w:rsidRPr="006E51E2">
        <w:rPr>
          <w:b/>
          <w:color w:val="000000" w:themeColor="text1"/>
          <w:sz w:val="28"/>
          <w:szCs w:val="28"/>
        </w:rPr>
        <w:t xml:space="preserve">реставрації старої ратуші (охор. № 65-М) 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5" w:lineRule="auto"/>
        <w:jc w:val="center"/>
        <w:rPr>
          <w:b/>
          <w:color w:val="000000" w:themeColor="text1"/>
          <w:sz w:val="28"/>
          <w:szCs w:val="28"/>
        </w:rPr>
      </w:pPr>
      <w:r w:rsidRPr="006E51E2">
        <w:rPr>
          <w:b/>
          <w:color w:val="000000" w:themeColor="text1"/>
          <w:sz w:val="28"/>
          <w:szCs w:val="28"/>
        </w:rPr>
        <w:t xml:space="preserve">у місті Чортків на 2021-2022 роки </w:t>
      </w:r>
    </w:p>
    <w:p w:rsidR="001701CA" w:rsidRPr="006E51E2" w:rsidRDefault="00170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5" w:lineRule="auto"/>
        <w:jc w:val="center"/>
        <w:rPr>
          <w:b/>
          <w:color w:val="000000" w:themeColor="text1"/>
          <w:sz w:val="28"/>
          <w:szCs w:val="28"/>
        </w:rPr>
      </w:pP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color w:val="000000" w:themeColor="text1"/>
          <w:sz w:val="28"/>
          <w:szCs w:val="28"/>
        </w:rPr>
      </w:pPr>
      <w:r w:rsidRPr="006E51E2">
        <w:rPr>
          <w:b/>
          <w:color w:val="000000" w:themeColor="text1"/>
          <w:sz w:val="28"/>
          <w:szCs w:val="28"/>
        </w:rPr>
        <w:t>1. Паспорт Програми</w:t>
      </w:r>
    </w:p>
    <w:tbl>
      <w:tblPr>
        <w:tblStyle w:val="a5"/>
        <w:tblW w:w="9888" w:type="dxa"/>
        <w:tblInd w:w="-38" w:type="dxa"/>
        <w:tblLayout w:type="fixed"/>
        <w:tblLook w:val="0000"/>
      </w:tblPr>
      <w:tblGrid>
        <w:gridCol w:w="636"/>
        <w:gridCol w:w="3996"/>
        <w:gridCol w:w="5256"/>
      </w:tblGrid>
      <w:tr w:rsidR="001701CA" w:rsidRPr="006E51E2">
        <w:trPr>
          <w:trHeight w:val="648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8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Чортківська міська територіальна громада</w:t>
            </w:r>
          </w:p>
        </w:tc>
      </w:tr>
      <w:tr w:rsidR="001701CA" w:rsidRPr="006E51E2">
        <w:trPr>
          <w:trHeight w:val="1776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0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Закони України «Про ратифікацію Конвенції про охорону культурної спадщини», «Про ратифікацію Конвенції про охорону культурної спадщини Європи», «Про затвердження За</w:t>
            </w:r>
            <w:r w:rsidRPr="006E51E2">
              <w:rPr>
                <w:color w:val="000000" w:themeColor="text1"/>
                <w:sz w:val="28"/>
                <w:szCs w:val="28"/>
              </w:rPr>
              <w:t>гальнодержавної програми збереження та використання об'єктів культурної спадщини», «Про архітектурну діяльність»</w:t>
            </w:r>
          </w:p>
        </w:tc>
      </w:tr>
      <w:tr w:rsidR="001701CA" w:rsidRPr="006E51E2">
        <w:trPr>
          <w:trHeight w:val="648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4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Розробник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 міської ради</w:t>
            </w:r>
          </w:p>
        </w:tc>
      </w:tr>
      <w:tr w:rsidR="001701CA" w:rsidRPr="006E51E2">
        <w:trPr>
          <w:trHeight w:val="768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4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4</w:t>
            </w:r>
            <w:r w:rsidRPr="006E51E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Відповідальні виконавці</w:t>
            </w:r>
          </w:p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1CA" w:rsidRPr="006E51E2" w:rsidRDefault="006E51E2">
            <w:pPr>
              <w:pStyle w:val="normal"/>
              <w:widowControl w:val="0"/>
              <w:shd w:val="clear" w:color="auto" w:fill="FFFFFF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Чортківська міська рада, Відділ архітектури та містобудівного кадастру управління комунального господарства, архітектури та капітального будівництва міської ради</w:t>
            </w:r>
          </w:p>
        </w:tc>
      </w:tr>
      <w:tr w:rsidR="001701CA" w:rsidRPr="006E51E2">
        <w:trPr>
          <w:trHeight w:val="79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0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2021-202</w:t>
            </w:r>
            <w:r w:rsidRPr="006E51E2">
              <w:rPr>
                <w:color w:val="000000" w:themeColor="text1"/>
                <w:sz w:val="28"/>
                <w:szCs w:val="28"/>
              </w:rPr>
              <w:t>2</w:t>
            </w:r>
            <w:r w:rsidRPr="006E51E2">
              <w:rPr>
                <w:color w:val="000000" w:themeColor="text1"/>
                <w:sz w:val="28"/>
                <w:szCs w:val="28"/>
              </w:rPr>
              <w:t xml:space="preserve"> роки </w:t>
            </w:r>
          </w:p>
        </w:tc>
      </w:tr>
      <w:tr w:rsidR="001701CA" w:rsidRPr="006E51E2">
        <w:trPr>
          <w:trHeight w:val="79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0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місцевий бюджет</w:t>
            </w:r>
          </w:p>
        </w:tc>
      </w:tr>
      <w:tr w:rsidR="001701CA" w:rsidRPr="006E51E2">
        <w:trPr>
          <w:trHeight w:val="1493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5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2,33</w:t>
            </w:r>
            <w:r w:rsidRPr="006E51E2">
              <w:rPr>
                <w:color w:val="000000" w:themeColor="text1"/>
                <w:sz w:val="28"/>
                <w:szCs w:val="28"/>
              </w:rPr>
              <w:t xml:space="preserve"> млн.грн</w:t>
            </w:r>
          </w:p>
          <w:p w:rsidR="001701CA" w:rsidRPr="006E51E2" w:rsidRDefault="001701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701CA" w:rsidRPr="006E51E2" w:rsidRDefault="001701CA">
      <w:pPr>
        <w:pStyle w:val="normal"/>
        <w:spacing w:after="0" w:line="240" w:lineRule="auto"/>
        <w:rPr>
          <w:color w:val="000000" w:themeColor="text1"/>
        </w:rPr>
      </w:pPr>
    </w:p>
    <w:p w:rsidR="001701CA" w:rsidRPr="006E51E2" w:rsidRDefault="001701CA">
      <w:pPr>
        <w:pStyle w:val="normal"/>
        <w:spacing w:after="0" w:line="240" w:lineRule="auto"/>
        <w:rPr>
          <w:color w:val="000000" w:themeColor="text1"/>
        </w:rPr>
      </w:pPr>
    </w:p>
    <w:p w:rsidR="001701CA" w:rsidRPr="006E51E2" w:rsidRDefault="006E51E2">
      <w:pPr>
        <w:pStyle w:val="normal"/>
        <w:spacing w:after="0" w:line="240" w:lineRule="auto"/>
        <w:rPr>
          <w:color w:val="000000" w:themeColor="text1"/>
        </w:rPr>
      </w:pPr>
      <w:r w:rsidRPr="006E51E2">
        <w:rPr>
          <w:color w:val="000000" w:themeColor="text1"/>
        </w:rPr>
        <w:br w:type="page"/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b/>
          <w:color w:val="000000" w:themeColor="text1"/>
          <w:sz w:val="28"/>
          <w:szCs w:val="28"/>
        </w:rPr>
      </w:pPr>
      <w:r w:rsidRPr="006E51E2">
        <w:rPr>
          <w:b/>
          <w:color w:val="000000" w:themeColor="text1"/>
          <w:sz w:val="28"/>
          <w:szCs w:val="28"/>
        </w:rPr>
        <w:lastRenderedPageBreak/>
        <w:t>2. Визначення проблеми, на розв'язання якої спрямована Програма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 xml:space="preserve">Чортків – місто з яскраво вираженою центральною частиною, де збереглися архітектурні та історичні пам’ятки. Історична ринкова площа з старою ратушею з характерною годинниковою вежею та  торговими рядами є однією з ключових візитівок міста. Стара ратуша </w:t>
      </w:r>
      <w:r w:rsidRPr="006E51E2">
        <w:rPr>
          <w:color w:val="000000" w:themeColor="text1"/>
          <w:sz w:val="28"/>
          <w:szCs w:val="28"/>
        </w:rPr>
        <w:t xml:space="preserve">є унікальним об’єктом культурної спадщини </w:t>
      </w:r>
      <w:r w:rsidRPr="006E51E2">
        <w:rPr>
          <w:color w:val="000000" w:themeColor="text1"/>
          <w:sz w:val="28"/>
          <w:szCs w:val="28"/>
        </w:rPr>
        <w:t>місцевого</w:t>
      </w:r>
      <w:r w:rsidRPr="006E51E2">
        <w:rPr>
          <w:color w:val="000000" w:themeColor="text1"/>
          <w:sz w:val="28"/>
          <w:szCs w:val="28"/>
        </w:rPr>
        <w:t xml:space="preserve"> значення. 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Збереження культурної спадщини означено в Конституції України, в діючих законах України: «Про ратифікацію Конвенції про охорону культурної спадщини», «Про ратифікацію Конвенції про охорону куль</w:t>
      </w:r>
      <w:r w:rsidRPr="006E51E2">
        <w:rPr>
          <w:color w:val="000000" w:themeColor="text1"/>
          <w:sz w:val="28"/>
          <w:szCs w:val="28"/>
        </w:rPr>
        <w:t>турної спадщини Європи», «Про затвердження Загальнодержавної програми збереження та використання об'єктів культурної спадщини», «Про архітектурну діяльність», що врегульовують функції держави, спеціальних органів охорони культурної спадщини, органів держав</w:t>
      </w:r>
      <w:r w:rsidRPr="006E51E2">
        <w:rPr>
          <w:color w:val="000000" w:themeColor="text1"/>
          <w:sz w:val="28"/>
          <w:szCs w:val="28"/>
        </w:rPr>
        <w:t>ної виконавчої влади регіонального рівня, а також землекористувачів, фізичних осіб, у користуванні яких перебувають пам'ятки архітектури та містобудування різних форм власності.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Державних коштів останні 10 років не виділяється на ремонт і реставрацію, а пи</w:t>
      </w:r>
      <w:r w:rsidRPr="006E51E2">
        <w:rPr>
          <w:color w:val="000000" w:themeColor="text1"/>
          <w:sz w:val="28"/>
          <w:szCs w:val="28"/>
        </w:rPr>
        <w:t>тання залучення недержавних інвестицій взагалі не вирішується. Неврегульованим залишається і питання права власності на деякі об'єкти. Відсутній механізм взаємодії державних і недержавних структур у проведенні необхідних пам’ятко</w:t>
      </w:r>
      <w:r w:rsidRPr="006E51E2">
        <w:rPr>
          <w:color w:val="000000" w:themeColor="text1"/>
          <w:sz w:val="28"/>
          <w:szCs w:val="28"/>
        </w:rPr>
        <w:t>-</w:t>
      </w:r>
      <w:r w:rsidRPr="006E51E2">
        <w:rPr>
          <w:color w:val="000000" w:themeColor="text1"/>
          <w:sz w:val="28"/>
          <w:szCs w:val="28"/>
        </w:rPr>
        <w:t>охоронних заходів.</w:t>
      </w:r>
    </w:p>
    <w:p w:rsidR="001701CA" w:rsidRPr="006E51E2" w:rsidRDefault="00170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 xml:space="preserve">Стара </w:t>
      </w:r>
      <w:r w:rsidRPr="006E51E2">
        <w:rPr>
          <w:color w:val="000000" w:themeColor="text1"/>
          <w:sz w:val="28"/>
          <w:szCs w:val="28"/>
        </w:rPr>
        <w:t>ратуша з  годинниковою вежою та торговими рядами була зведена   з ініціативи тодішнього бургомістра Чорткова Людвіка Носса (1896-1914 рр.). Будівництво тривало від 1905 р. до 1908 р. Після Першої світової війни новозведені торгові ряди продовжили розбудову</w:t>
      </w:r>
      <w:r w:rsidRPr="006E51E2">
        <w:rPr>
          <w:color w:val="000000" w:themeColor="text1"/>
          <w:sz w:val="28"/>
          <w:szCs w:val="28"/>
        </w:rPr>
        <w:t>вати як торгово-адміністративний комплекс. Тут містився магістрат разом із крамничками дрібної торгівлі.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Будівля ратуші розташовувалась в оточенні торгових рядів та зведена на західно-європейський взір — з використанням фахверкових конструкцій, акцентована</w:t>
      </w:r>
      <w:r w:rsidRPr="006E51E2">
        <w:rPr>
          <w:color w:val="000000" w:themeColor="text1"/>
          <w:sz w:val="28"/>
          <w:szCs w:val="28"/>
        </w:rPr>
        <w:t xml:space="preserve"> годинниковою вежею. У Швейцарії, в місті Берні у відомій фірмі «Aosta» було створено годинник за проектом інженера Френкеля Ґоттеншафтена для ратуші в Чорткові.За час свого існування Торгові ряди пережили дві світові війни. Нині чортківські Торгові ряди п</w:t>
      </w:r>
      <w:r w:rsidRPr="006E51E2">
        <w:rPr>
          <w:color w:val="000000" w:themeColor="text1"/>
          <w:sz w:val="28"/>
          <w:szCs w:val="28"/>
        </w:rPr>
        <w:t>родовжують функціонувати. Другий ярус займає м ’ясний павільйон, кафе «Лемківська світлиця» та Чортківська районна громадська організація Всеукраїнського Товариства «Лемківщина». В рівні першого ярусу розташовано ряд крамничок.</w:t>
      </w:r>
    </w:p>
    <w:p w:rsidR="001701CA" w:rsidRPr="006E51E2" w:rsidRDefault="00170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Протягом тривалого часу не проводилось реставраційних робіт старої ратуші, а в</w:t>
      </w:r>
      <w:r w:rsidRPr="006E51E2">
        <w:rPr>
          <w:color w:val="000000" w:themeColor="text1"/>
          <w:sz w:val="28"/>
          <w:szCs w:val="28"/>
        </w:rPr>
        <w:t xml:space="preserve"> результаті проведеного інженерного обстеження встановлено, що загальний технічний стан ратушової вежі визначений як непридатний для подальшої експлуатації</w:t>
      </w:r>
      <w:r w:rsidRPr="006E51E2">
        <w:rPr>
          <w:color w:val="000000" w:themeColor="text1"/>
          <w:sz w:val="28"/>
          <w:szCs w:val="28"/>
        </w:rPr>
        <w:t xml:space="preserve">. 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Забезпечити збережен</w:t>
      </w:r>
      <w:r w:rsidRPr="006E51E2">
        <w:rPr>
          <w:color w:val="000000" w:themeColor="text1"/>
          <w:sz w:val="28"/>
          <w:szCs w:val="28"/>
        </w:rPr>
        <w:t>ня автентичної матеріальної структури архітектурної пам’ятки</w:t>
      </w:r>
      <w:r w:rsidRPr="006E51E2">
        <w:rPr>
          <w:color w:val="000000" w:themeColor="text1"/>
          <w:sz w:val="28"/>
          <w:szCs w:val="28"/>
        </w:rPr>
        <w:t>, приве</w:t>
      </w:r>
      <w:r w:rsidRPr="006E51E2">
        <w:rPr>
          <w:color w:val="000000" w:themeColor="text1"/>
          <w:sz w:val="28"/>
          <w:szCs w:val="28"/>
        </w:rPr>
        <w:t>дення</w:t>
      </w:r>
      <w:r w:rsidRPr="006E51E2">
        <w:rPr>
          <w:color w:val="000000" w:themeColor="text1"/>
          <w:sz w:val="28"/>
          <w:szCs w:val="28"/>
        </w:rPr>
        <w:t xml:space="preserve"> до належного стану середовищ</w:t>
      </w:r>
      <w:r w:rsidRPr="006E51E2">
        <w:rPr>
          <w:color w:val="000000" w:themeColor="text1"/>
          <w:sz w:val="28"/>
          <w:szCs w:val="28"/>
        </w:rPr>
        <w:t>а</w:t>
      </w:r>
      <w:r w:rsidRPr="006E51E2">
        <w:rPr>
          <w:color w:val="000000" w:themeColor="text1"/>
          <w:sz w:val="28"/>
          <w:szCs w:val="28"/>
        </w:rPr>
        <w:t xml:space="preserve"> існування пам ’ятки, </w:t>
      </w:r>
      <w:r w:rsidRPr="006E51E2">
        <w:rPr>
          <w:color w:val="000000" w:themeColor="text1"/>
          <w:sz w:val="28"/>
          <w:szCs w:val="28"/>
        </w:rPr>
        <w:lastRenderedPageBreak/>
        <w:t>створ</w:t>
      </w:r>
      <w:r w:rsidRPr="006E51E2">
        <w:rPr>
          <w:color w:val="000000" w:themeColor="text1"/>
          <w:sz w:val="28"/>
          <w:szCs w:val="28"/>
        </w:rPr>
        <w:t>ення</w:t>
      </w:r>
      <w:r w:rsidRPr="006E51E2">
        <w:rPr>
          <w:color w:val="000000" w:themeColor="text1"/>
          <w:sz w:val="28"/>
          <w:szCs w:val="28"/>
        </w:rPr>
        <w:t xml:space="preserve"> сучасн</w:t>
      </w:r>
      <w:r w:rsidRPr="006E51E2">
        <w:rPr>
          <w:color w:val="000000" w:themeColor="text1"/>
          <w:sz w:val="28"/>
          <w:szCs w:val="28"/>
        </w:rPr>
        <w:t>ої туристично-привабливої</w:t>
      </w:r>
      <w:r w:rsidRPr="006E51E2">
        <w:rPr>
          <w:color w:val="000000" w:themeColor="text1"/>
          <w:sz w:val="28"/>
          <w:szCs w:val="28"/>
        </w:rPr>
        <w:t xml:space="preserve"> міськ</w:t>
      </w:r>
      <w:r w:rsidRPr="006E51E2">
        <w:rPr>
          <w:color w:val="000000" w:themeColor="text1"/>
          <w:sz w:val="28"/>
          <w:szCs w:val="28"/>
        </w:rPr>
        <w:t>ої</w:t>
      </w:r>
      <w:r w:rsidRPr="006E51E2">
        <w:rPr>
          <w:color w:val="000000" w:themeColor="text1"/>
          <w:sz w:val="28"/>
          <w:szCs w:val="28"/>
        </w:rPr>
        <w:t xml:space="preserve"> інфраструктур</w:t>
      </w:r>
      <w:r w:rsidRPr="006E51E2">
        <w:rPr>
          <w:color w:val="000000" w:themeColor="text1"/>
          <w:sz w:val="28"/>
          <w:szCs w:val="28"/>
        </w:rPr>
        <w:t>и</w:t>
      </w:r>
      <w:r w:rsidRPr="006E51E2">
        <w:rPr>
          <w:color w:val="000000" w:themeColor="text1"/>
          <w:sz w:val="28"/>
          <w:szCs w:val="28"/>
        </w:rPr>
        <w:t xml:space="preserve">  можливо лише шляхом вжиття невідкладних ефективних заходів.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Осново</w:t>
      </w:r>
      <w:r w:rsidRPr="006E51E2">
        <w:rPr>
          <w:color w:val="000000" w:themeColor="text1"/>
          <w:sz w:val="28"/>
          <w:szCs w:val="28"/>
        </w:rPr>
        <w:t xml:space="preserve">ю для цього повинна стати цільова програма </w:t>
      </w:r>
      <w:r w:rsidRPr="006E51E2">
        <w:rPr>
          <w:color w:val="000000" w:themeColor="text1"/>
          <w:sz w:val="28"/>
          <w:szCs w:val="28"/>
        </w:rPr>
        <w:t>реставрації Старої ратуші (охор.№ 65-М)  у місті Чортків на 2021-2022 роки.</w:t>
      </w:r>
    </w:p>
    <w:p w:rsidR="001701CA" w:rsidRPr="006E51E2" w:rsidRDefault="00170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b/>
          <w:color w:val="000000" w:themeColor="text1"/>
          <w:sz w:val="28"/>
          <w:szCs w:val="28"/>
        </w:rPr>
      </w:pPr>
      <w:r w:rsidRPr="006E51E2">
        <w:rPr>
          <w:b/>
          <w:color w:val="000000" w:themeColor="text1"/>
          <w:sz w:val="28"/>
          <w:szCs w:val="28"/>
        </w:rPr>
        <w:t>3. Мета Програми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 xml:space="preserve">Мета Програми полягає у створенні сприятливих умов для охорони культурної спадщини, забезпечення рівня збереженості та використання об'єктів культурної спадщини у суспільному житті, перш за все у ліквідації аварійного стану </w:t>
      </w:r>
      <w:r w:rsidRPr="006E51E2">
        <w:rPr>
          <w:color w:val="000000" w:themeColor="text1"/>
          <w:sz w:val="28"/>
          <w:szCs w:val="28"/>
        </w:rPr>
        <w:t>старої ратуші з годинниковою веж</w:t>
      </w:r>
      <w:r w:rsidRPr="006E51E2">
        <w:rPr>
          <w:color w:val="000000" w:themeColor="text1"/>
          <w:sz w:val="28"/>
          <w:szCs w:val="28"/>
        </w:rPr>
        <w:t>ею</w:t>
      </w:r>
      <w:r w:rsidRPr="006E51E2">
        <w:rPr>
          <w:color w:val="000000" w:themeColor="text1"/>
          <w:sz w:val="28"/>
          <w:szCs w:val="28"/>
        </w:rPr>
        <w:t xml:space="preserve">, </w:t>
      </w:r>
      <w:r w:rsidRPr="006E51E2">
        <w:rPr>
          <w:color w:val="000000" w:themeColor="text1"/>
          <w:sz w:val="28"/>
          <w:szCs w:val="28"/>
        </w:rPr>
        <w:t xml:space="preserve">збереження автентичної матеріальної структури архітектурної пам’ятки, приведення до належного стану середовища існування пам’ятки, </w:t>
      </w:r>
      <w:r w:rsidRPr="006E51E2">
        <w:rPr>
          <w:color w:val="000000" w:themeColor="text1"/>
          <w:sz w:val="28"/>
          <w:szCs w:val="28"/>
        </w:rPr>
        <w:t xml:space="preserve"> створення умов для її раціонального та безпечного використання.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 xml:space="preserve">Заходи, передбачені проектом Програми </w:t>
      </w:r>
      <w:r w:rsidRPr="006E51E2">
        <w:rPr>
          <w:color w:val="000000" w:themeColor="text1"/>
          <w:sz w:val="28"/>
          <w:szCs w:val="28"/>
        </w:rPr>
        <w:t>реставрації Старої</w:t>
      </w:r>
      <w:r w:rsidRPr="006E51E2">
        <w:rPr>
          <w:color w:val="000000" w:themeColor="text1"/>
          <w:sz w:val="28"/>
          <w:szCs w:val="28"/>
        </w:rPr>
        <w:t xml:space="preserve"> ратуші (охор.№ 65-М) у місті Чортків на 2021-2022 роки</w:t>
      </w:r>
      <w:r w:rsidRPr="006E51E2">
        <w:rPr>
          <w:color w:val="000000" w:themeColor="text1"/>
          <w:sz w:val="28"/>
          <w:szCs w:val="28"/>
        </w:rPr>
        <w:t>,</w:t>
      </w:r>
      <w:r w:rsidRPr="006E51E2">
        <w:rPr>
          <w:color w:val="000000" w:themeColor="text1"/>
          <w:sz w:val="28"/>
          <w:szCs w:val="28"/>
        </w:rPr>
        <w:t xml:space="preserve"> у разі прийняття, будуть включені до Програми соціально-економічного та культурного розвитку Чортківської міської територіальної громади на 2021 - 2025 роки.</w:t>
      </w:r>
    </w:p>
    <w:p w:rsidR="001701CA" w:rsidRPr="006E51E2" w:rsidRDefault="00170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E51E2">
        <w:rPr>
          <w:b/>
          <w:color w:val="000000" w:themeColor="text1"/>
          <w:sz w:val="28"/>
          <w:szCs w:val="28"/>
        </w:rPr>
        <w:t>4. Обґрунтування шляхів і засобів розв'я</w:t>
      </w:r>
      <w:r w:rsidRPr="006E51E2">
        <w:rPr>
          <w:b/>
          <w:color w:val="000000" w:themeColor="text1"/>
          <w:sz w:val="28"/>
          <w:szCs w:val="28"/>
        </w:rPr>
        <w:t xml:space="preserve">зання проблеми, 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E51E2">
        <w:rPr>
          <w:b/>
          <w:color w:val="000000" w:themeColor="text1"/>
          <w:sz w:val="28"/>
          <w:szCs w:val="28"/>
        </w:rPr>
        <w:t>обсяги та джерела фінансування; строки та етапи виконання Програми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В сучасних умовах підвищились вимоги до інформації про об'єкти культурної спадщини.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 xml:space="preserve">Тому досить гостро стоїть питання про подальше вирішення проблемних питань щодо охорони </w:t>
      </w:r>
      <w:r w:rsidRPr="006E51E2">
        <w:rPr>
          <w:color w:val="000000" w:themeColor="text1"/>
          <w:sz w:val="28"/>
          <w:szCs w:val="28"/>
        </w:rPr>
        <w:t xml:space="preserve">культурної спадщини в місті Чортків. Необхідно негайно поставити на порядок денний питання </w:t>
      </w:r>
      <w:r w:rsidRPr="006E51E2">
        <w:rPr>
          <w:color w:val="000000" w:themeColor="text1"/>
          <w:sz w:val="28"/>
          <w:szCs w:val="28"/>
        </w:rPr>
        <w:t>протиаварійних та</w:t>
      </w:r>
      <w:r w:rsidRPr="006E51E2">
        <w:rPr>
          <w:color w:val="000000" w:themeColor="text1"/>
          <w:sz w:val="28"/>
          <w:szCs w:val="28"/>
        </w:rPr>
        <w:t xml:space="preserve"> реставраційних, робіт на пам'ятці</w:t>
      </w:r>
      <w:r w:rsidRPr="006E51E2">
        <w:rPr>
          <w:color w:val="000000" w:themeColor="text1"/>
          <w:sz w:val="28"/>
          <w:szCs w:val="28"/>
        </w:rPr>
        <w:t xml:space="preserve"> стара ратуша (охор.№ 65-М)</w:t>
      </w:r>
      <w:r w:rsidRPr="006E51E2">
        <w:rPr>
          <w:color w:val="000000" w:themeColor="text1"/>
          <w:sz w:val="28"/>
          <w:szCs w:val="28"/>
        </w:rPr>
        <w:t>.</w:t>
      </w:r>
    </w:p>
    <w:p w:rsidR="001701CA" w:rsidRPr="006E51E2" w:rsidRDefault="00170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Програма розрахована на період 2021-202</w:t>
      </w:r>
      <w:r w:rsidRPr="006E51E2">
        <w:rPr>
          <w:color w:val="000000" w:themeColor="text1"/>
          <w:sz w:val="28"/>
          <w:szCs w:val="28"/>
        </w:rPr>
        <w:t>2</w:t>
      </w:r>
      <w:r w:rsidRPr="006E51E2">
        <w:rPr>
          <w:color w:val="000000" w:themeColor="text1"/>
          <w:sz w:val="28"/>
          <w:szCs w:val="28"/>
        </w:rPr>
        <w:t xml:space="preserve"> рр.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Фінансування заходів, передбачених прог</w:t>
      </w:r>
      <w:r w:rsidRPr="006E51E2">
        <w:rPr>
          <w:color w:val="000000" w:themeColor="text1"/>
          <w:sz w:val="28"/>
          <w:szCs w:val="28"/>
        </w:rPr>
        <w:t>рамою буде здійснюватися</w:t>
      </w:r>
      <w:r w:rsidRPr="006E51E2">
        <w:rPr>
          <w:color w:val="000000" w:themeColor="text1"/>
          <w:sz w:val="28"/>
          <w:szCs w:val="28"/>
        </w:rPr>
        <w:t xml:space="preserve"> </w:t>
      </w:r>
      <w:r w:rsidRPr="006E51E2">
        <w:rPr>
          <w:color w:val="000000" w:themeColor="text1"/>
          <w:sz w:val="28"/>
          <w:szCs w:val="28"/>
        </w:rPr>
        <w:t>за рахунок коштів бюджету Чортківської міської територіальної громади,</w:t>
      </w:r>
      <w:r w:rsidRPr="006E51E2">
        <w:rPr>
          <w:color w:val="000000" w:themeColor="text1"/>
          <w:sz w:val="28"/>
          <w:szCs w:val="28"/>
        </w:rPr>
        <w:t xml:space="preserve"> а також інших джерел відповідно до чинного законодавства.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094"/>
        </w:tabs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 xml:space="preserve">Загальний обсяг фінансових ресурсів на забезпечення виконання ресурсів складає </w:t>
      </w:r>
      <w:r w:rsidRPr="006E51E2">
        <w:rPr>
          <w:color w:val="000000" w:themeColor="text1"/>
          <w:sz w:val="28"/>
          <w:szCs w:val="28"/>
        </w:rPr>
        <w:t xml:space="preserve">2,31 млн </w:t>
      </w:r>
      <w:r w:rsidRPr="006E51E2">
        <w:rPr>
          <w:color w:val="000000" w:themeColor="text1"/>
          <w:sz w:val="28"/>
          <w:szCs w:val="28"/>
        </w:rPr>
        <w:t xml:space="preserve"> грн.</w:t>
      </w:r>
    </w:p>
    <w:p w:rsidR="001701CA" w:rsidRPr="006E51E2" w:rsidRDefault="00170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094"/>
        </w:tabs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094"/>
        </w:tabs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 xml:space="preserve">Фінансування Програми здійснюється за рахунок коштів </w:t>
      </w:r>
      <w:r w:rsidRPr="006E51E2">
        <w:rPr>
          <w:color w:val="000000" w:themeColor="text1"/>
          <w:sz w:val="28"/>
          <w:szCs w:val="28"/>
        </w:rPr>
        <w:t>місцевого бюджету</w:t>
      </w:r>
      <w:r w:rsidRPr="006E51E2">
        <w:rPr>
          <w:color w:val="000000" w:themeColor="text1"/>
          <w:sz w:val="28"/>
          <w:szCs w:val="28"/>
        </w:rPr>
        <w:t>.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Обсяг фінансування Програми уточнюється щороку під час складання проектів бюджетів на відповідний рік.</w:t>
      </w:r>
    </w:p>
    <w:p w:rsidR="001701CA" w:rsidRPr="006E51E2" w:rsidRDefault="00170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101" w:firstLine="709"/>
        <w:jc w:val="both"/>
        <w:rPr>
          <w:color w:val="000000" w:themeColor="text1"/>
          <w:sz w:val="28"/>
          <w:szCs w:val="28"/>
        </w:rPr>
      </w:pPr>
    </w:p>
    <w:p w:rsidR="001701CA" w:rsidRPr="006E51E2" w:rsidRDefault="00170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101" w:firstLine="709"/>
        <w:jc w:val="both"/>
        <w:rPr>
          <w:color w:val="000000" w:themeColor="text1"/>
          <w:sz w:val="28"/>
          <w:szCs w:val="28"/>
        </w:rPr>
      </w:pPr>
    </w:p>
    <w:p w:rsidR="001701CA" w:rsidRPr="006E51E2" w:rsidRDefault="00170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101" w:firstLine="709"/>
        <w:jc w:val="both"/>
        <w:rPr>
          <w:color w:val="000000" w:themeColor="text1"/>
          <w:sz w:val="28"/>
          <w:szCs w:val="28"/>
        </w:rPr>
      </w:pPr>
    </w:p>
    <w:p w:rsidR="001701CA" w:rsidRPr="006E51E2" w:rsidRDefault="00170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101" w:firstLine="709"/>
        <w:jc w:val="both"/>
        <w:rPr>
          <w:color w:val="000000" w:themeColor="text1"/>
          <w:sz w:val="28"/>
          <w:szCs w:val="28"/>
        </w:rPr>
      </w:pP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5" w:lineRule="auto"/>
        <w:jc w:val="center"/>
        <w:rPr>
          <w:color w:val="000000" w:themeColor="text1"/>
        </w:rPr>
      </w:pPr>
      <w:r w:rsidRPr="006E51E2">
        <w:rPr>
          <w:b/>
          <w:color w:val="000000" w:themeColor="text1"/>
          <w:sz w:val="28"/>
          <w:szCs w:val="28"/>
        </w:rPr>
        <w:t xml:space="preserve">Ресурсне забезпечення Програми </w:t>
      </w:r>
    </w:p>
    <w:p w:rsidR="001701CA" w:rsidRPr="006E51E2" w:rsidRDefault="001701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8352"/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W w:w="9660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5"/>
        <w:gridCol w:w="1515"/>
        <w:gridCol w:w="1650"/>
        <w:gridCol w:w="3270"/>
      </w:tblGrid>
      <w:tr w:rsidR="001701CA" w:rsidRPr="006E51E2">
        <w:trPr>
          <w:trHeight w:val="527"/>
        </w:trPr>
        <w:tc>
          <w:tcPr>
            <w:tcW w:w="3225" w:type="dxa"/>
          </w:tcPr>
          <w:p w:rsidR="001701CA" w:rsidRPr="006E51E2" w:rsidRDefault="006E51E2">
            <w:pPr>
              <w:pStyle w:val="normal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b/>
                <w:color w:val="000000" w:themeColor="text1"/>
                <w:sz w:val="28"/>
                <w:szCs w:val="28"/>
              </w:rPr>
              <w:t xml:space="preserve">Обсяг коштів, </w:t>
            </w:r>
          </w:p>
          <w:p w:rsidR="001701CA" w:rsidRPr="006E51E2" w:rsidRDefault="006E51E2">
            <w:pPr>
              <w:pStyle w:val="normal"/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E51E2">
              <w:rPr>
                <w:b/>
                <w:color w:val="000000" w:themeColor="text1"/>
                <w:sz w:val="28"/>
                <w:szCs w:val="28"/>
              </w:rPr>
              <w:t xml:space="preserve">які пропонується </w:t>
            </w:r>
          </w:p>
          <w:p w:rsidR="001701CA" w:rsidRPr="006E51E2" w:rsidRDefault="006E51E2">
            <w:pPr>
              <w:pStyle w:val="normal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b/>
                <w:color w:val="000000" w:themeColor="text1"/>
                <w:sz w:val="28"/>
                <w:szCs w:val="28"/>
              </w:rPr>
              <w:t xml:space="preserve">залучити на </w:t>
            </w:r>
          </w:p>
          <w:p w:rsidR="001701CA" w:rsidRPr="006E51E2" w:rsidRDefault="006E51E2">
            <w:pPr>
              <w:pStyle w:val="normal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b/>
                <w:color w:val="000000" w:themeColor="text1"/>
                <w:sz w:val="28"/>
                <w:szCs w:val="28"/>
              </w:rPr>
              <w:t>виконання Програми</w:t>
            </w:r>
          </w:p>
        </w:tc>
        <w:tc>
          <w:tcPr>
            <w:tcW w:w="1515" w:type="dxa"/>
          </w:tcPr>
          <w:p w:rsidR="001701CA" w:rsidRPr="006E51E2" w:rsidRDefault="006E51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b/>
                <w:color w:val="000000" w:themeColor="text1"/>
                <w:sz w:val="28"/>
                <w:szCs w:val="28"/>
              </w:rPr>
              <w:t>2021</w:t>
            </w:r>
          </w:p>
          <w:p w:rsidR="001701CA" w:rsidRPr="006E51E2" w:rsidRDefault="006E51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b/>
                <w:color w:val="000000" w:themeColor="text1"/>
                <w:sz w:val="28"/>
                <w:szCs w:val="28"/>
              </w:rPr>
              <w:t>рік</w:t>
            </w:r>
          </w:p>
        </w:tc>
        <w:tc>
          <w:tcPr>
            <w:tcW w:w="1650" w:type="dxa"/>
          </w:tcPr>
          <w:p w:rsidR="001701CA" w:rsidRPr="006E51E2" w:rsidRDefault="006E51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b/>
                <w:color w:val="000000" w:themeColor="text1"/>
                <w:sz w:val="28"/>
                <w:szCs w:val="28"/>
              </w:rPr>
              <w:t>2022</w:t>
            </w:r>
          </w:p>
          <w:p w:rsidR="001701CA" w:rsidRPr="006E51E2" w:rsidRDefault="006E51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b/>
                <w:color w:val="000000" w:themeColor="text1"/>
                <w:sz w:val="28"/>
                <w:szCs w:val="28"/>
              </w:rPr>
              <w:t>рік</w:t>
            </w:r>
          </w:p>
        </w:tc>
        <w:tc>
          <w:tcPr>
            <w:tcW w:w="3270" w:type="dxa"/>
          </w:tcPr>
          <w:p w:rsidR="001701CA" w:rsidRPr="006E51E2" w:rsidRDefault="006E51E2">
            <w:pPr>
              <w:pStyle w:val="normal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b/>
                <w:color w:val="000000" w:themeColor="text1"/>
                <w:sz w:val="28"/>
                <w:szCs w:val="28"/>
              </w:rPr>
              <w:t xml:space="preserve">Усього витрат </w:t>
            </w:r>
          </w:p>
          <w:p w:rsidR="001701CA" w:rsidRPr="006E51E2" w:rsidRDefault="006E51E2">
            <w:pPr>
              <w:pStyle w:val="normal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b/>
                <w:color w:val="000000" w:themeColor="text1"/>
                <w:sz w:val="28"/>
                <w:szCs w:val="28"/>
              </w:rPr>
              <w:t xml:space="preserve">на виконання </w:t>
            </w:r>
          </w:p>
          <w:p w:rsidR="001701CA" w:rsidRPr="006E51E2" w:rsidRDefault="006E51E2">
            <w:pPr>
              <w:pStyle w:val="normal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b/>
                <w:color w:val="000000" w:themeColor="text1"/>
                <w:sz w:val="28"/>
                <w:szCs w:val="28"/>
              </w:rPr>
              <w:t>Програми</w:t>
            </w:r>
          </w:p>
        </w:tc>
      </w:tr>
      <w:tr w:rsidR="001701CA" w:rsidRPr="006E51E2">
        <w:trPr>
          <w:trHeight w:val="521"/>
        </w:trPr>
        <w:tc>
          <w:tcPr>
            <w:tcW w:w="32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1CA" w:rsidRPr="006E51E2" w:rsidRDefault="006E51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E51E2">
              <w:rPr>
                <w:b/>
                <w:color w:val="000000" w:themeColor="text1"/>
                <w:sz w:val="28"/>
                <w:szCs w:val="28"/>
              </w:rPr>
              <w:t>Обсяг ресурсів, необхідних для реалізації програми</w:t>
            </w:r>
            <w:r w:rsidRPr="006E51E2">
              <w:rPr>
                <w:b/>
                <w:color w:val="000000" w:themeColor="text1"/>
                <w:sz w:val="28"/>
                <w:szCs w:val="28"/>
              </w:rPr>
              <w:t>, всього</w:t>
            </w:r>
          </w:p>
        </w:tc>
        <w:tc>
          <w:tcPr>
            <w:tcW w:w="1515" w:type="dxa"/>
          </w:tcPr>
          <w:p w:rsidR="001701CA" w:rsidRPr="006E51E2" w:rsidRDefault="006E51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1,33 млн.грн</w:t>
            </w:r>
          </w:p>
        </w:tc>
        <w:tc>
          <w:tcPr>
            <w:tcW w:w="1650" w:type="dxa"/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 xml:space="preserve"> 1 млн.грн</w:t>
            </w:r>
          </w:p>
          <w:p w:rsidR="001701CA" w:rsidRPr="006E51E2" w:rsidRDefault="001701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0" w:type="dxa"/>
          </w:tcPr>
          <w:p w:rsidR="001701CA" w:rsidRPr="006E51E2" w:rsidRDefault="006E51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2,33 млн.грн</w:t>
            </w:r>
          </w:p>
        </w:tc>
      </w:tr>
    </w:tbl>
    <w:p w:rsidR="001701CA" w:rsidRPr="006E51E2" w:rsidRDefault="00170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 w:rsidRPr="006E51E2">
        <w:rPr>
          <w:b/>
          <w:color w:val="000000" w:themeColor="text1"/>
          <w:sz w:val="28"/>
          <w:szCs w:val="28"/>
        </w:rPr>
        <w:t>5. Перелік завдань, заходів Програми та результативні показники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Для повноцінного виконання заходів щодо збереження цінного архітектурно-містобудівного середовища та пам'ятки архітектури Стара ратуша необхідно виконати наступні завдання: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 xml:space="preserve">- передбачити щорічні видатки на збереження архітектурно-містобудівної спадщини на рівні </w:t>
      </w:r>
      <w:r w:rsidRPr="006E51E2">
        <w:rPr>
          <w:color w:val="000000" w:themeColor="text1"/>
          <w:sz w:val="28"/>
          <w:szCs w:val="28"/>
        </w:rPr>
        <w:t xml:space="preserve">2021 р. – </w:t>
      </w:r>
      <w:r w:rsidRPr="006E51E2">
        <w:rPr>
          <w:color w:val="000000" w:themeColor="text1"/>
          <w:sz w:val="28"/>
          <w:szCs w:val="28"/>
        </w:rPr>
        <w:t>1,1 млн.</w:t>
      </w:r>
      <w:r w:rsidRPr="006E51E2">
        <w:rPr>
          <w:color w:val="000000" w:themeColor="text1"/>
          <w:sz w:val="28"/>
          <w:szCs w:val="28"/>
        </w:rPr>
        <w:t xml:space="preserve"> грн., 2022 р. – </w:t>
      </w:r>
      <w:r w:rsidRPr="006E51E2">
        <w:rPr>
          <w:color w:val="000000" w:themeColor="text1"/>
          <w:sz w:val="28"/>
          <w:szCs w:val="28"/>
        </w:rPr>
        <w:t xml:space="preserve"> 1 млн</w:t>
      </w:r>
      <w:r w:rsidRPr="006E51E2">
        <w:rPr>
          <w:color w:val="000000" w:themeColor="text1"/>
          <w:sz w:val="28"/>
          <w:szCs w:val="28"/>
        </w:rPr>
        <w:t>.грн</w:t>
      </w:r>
      <w:r w:rsidRPr="006E51E2">
        <w:rPr>
          <w:color w:val="000000" w:themeColor="text1"/>
          <w:sz w:val="28"/>
          <w:szCs w:val="28"/>
        </w:rPr>
        <w:t xml:space="preserve"> для проведення реставраційних робіт на Старій ратуші; 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- створити в Чортківській міській територіальній громаді спеціальний фонд охорони історико-культурної спадщини, джерелами наповнення яких стали б: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38"/>
        </w:tabs>
        <w:spacing w:after="0" w:line="240" w:lineRule="auto"/>
        <w:ind w:left="720"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- кошти, одержані від сплати податків;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675"/>
        </w:tabs>
        <w:spacing w:after="0" w:line="240" w:lineRule="auto"/>
        <w:ind w:left="720"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- кошти від благодійних внесків;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14"/>
        </w:tabs>
        <w:spacing w:after="0" w:line="240" w:lineRule="auto"/>
        <w:ind w:left="720"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- кошти отримані від застосування фінансових санкцій за порушення пам'ятко-охоронного законодавства, відшкодування шкоди завданої пам'яткам;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42"/>
        </w:tabs>
        <w:spacing w:after="0" w:line="240" w:lineRule="auto"/>
        <w:ind w:left="720"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- інші джерела, не заборонені законодавством (за розміщення реклами, використання символіки, відрахування від турис</w:t>
      </w:r>
      <w:r w:rsidRPr="006E51E2">
        <w:rPr>
          <w:color w:val="000000" w:themeColor="text1"/>
          <w:sz w:val="28"/>
          <w:szCs w:val="28"/>
        </w:rPr>
        <w:t>тичної діяльності), тощо.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42"/>
        </w:tabs>
        <w:spacing w:after="0" w:line="240" w:lineRule="auto"/>
        <w:ind w:left="720"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-розробити план подальшого використання та наповнення пам’ятки архітектури Стара ратуша;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42"/>
        </w:tabs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-інтегрувати пам’ятку у туристичні маршрути та адаптувати під нові потреби.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42"/>
        </w:tabs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Потребує подальшого вдосконалення система державного обліку пам'яток архітектури, їх використання, консервація, реставрація, контроль за виконання власниками, користувачами зобов'язань щодо утримання пам'ятки у належному стані.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 xml:space="preserve">Реалізація завдань Програми </w:t>
      </w:r>
      <w:r w:rsidRPr="006E51E2">
        <w:rPr>
          <w:color w:val="000000" w:themeColor="text1"/>
          <w:sz w:val="28"/>
          <w:szCs w:val="28"/>
        </w:rPr>
        <w:t>дасть змогу: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3"/>
        </w:tabs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-</w:t>
      </w:r>
      <w:r w:rsidRPr="006E51E2">
        <w:rPr>
          <w:color w:val="000000" w:themeColor="text1"/>
          <w:sz w:val="28"/>
          <w:szCs w:val="28"/>
        </w:rPr>
        <w:tab/>
        <w:t>забезпечити державний контроль за збереженням і використанням об'єкта культурної спадщини;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768"/>
        </w:tabs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- популяризувати пам'ятку історичної та культурної спадщини;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768"/>
        </w:tabs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lastRenderedPageBreak/>
        <w:t>-</w:t>
      </w:r>
      <w:r w:rsidRPr="006E51E2">
        <w:rPr>
          <w:color w:val="000000" w:themeColor="text1"/>
          <w:sz w:val="28"/>
          <w:szCs w:val="28"/>
        </w:rPr>
        <w:t xml:space="preserve">забезпечити </w:t>
      </w:r>
      <w:r w:rsidRPr="006E51E2">
        <w:rPr>
          <w:color w:val="000000" w:themeColor="text1"/>
          <w:sz w:val="28"/>
          <w:szCs w:val="28"/>
        </w:rPr>
        <w:t xml:space="preserve"> збереження, реставраці</w:t>
      </w:r>
      <w:r w:rsidRPr="006E51E2">
        <w:rPr>
          <w:color w:val="000000" w:themeColor="text1"/>
          <w:sz w:val="28"/>
          <w:szCs w:val="28"/>
        </w:rPr>
        <w:t>ю</w:t>
      </w:r>
      <w:r w:rsidRPr="006E51E2">
        <w:rPr>
          <w:color w:val="000000" w:themeColor="text1"/>
          <w:sz w:val="28"/>
          <w:szCs w:val="28"/>
        </w:rPr>
        <w:t xml:space="preserve"> і </w:t>
      </w:r>
      <w:r w:rsidRPr="006E51E2">
        <w:rPr>
          <w:color w:val="000000" w:themeColor="text1"/>
          <w:sz w:val="28"/>
          <w:szCs w:val="28"/>
        </w:rPr>
        <w:t xml:space="preserve">стале </w:t>
      </w:r>
      <w:r w:rsidRPr="006E51E2">
        <w:rPr>
          <w:color w:val="000000" w:themeColor="text1"/>
          <w:sz w:val="28"/>
          <w:szCs w:val="28"/>
        </w:rPr>
        <w:t>використання пам</w:t>
      </w:r>
      <w:r w:rsidRPr="006E51E2">
        <w:rPr>
          <w:color w:val="000000" w:themeColor="text1"/>
          <w:sz w:val="28"/>
          <w:szCs w:val="28"/>
        </w:rPr>
        <w:t>’ятки</w:t>
      </w:r>
      <w:r w:rsidRPr="006E51E2">
        <w:rPr>
          <w:color w:val="000000" w:themeColor="text1"/>
          <w:sz w:val="28"/>
          <w:szCs w:val="28"/>
        </w:rPr>
        <w:t>;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91"/>
        </w:tabs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-</w:t>
      </w:r>
      <w:r w:rsidRPr="006E51E2">
        <w:rPr>
          <w:color w:val="000000" w:themeColor="text1"/>
          <w:sz w:val="28"/>
          <w:szCs w:val="28"/>
        </w:rPr>
        <w:t>включити новий</w:t>
      </w:r>
      <w:r w:rsidRPr="006E51E2">
        <w:rPr>
          <w:color w:val="000000" w:themeColor="text1"/>
          <w:sz w:val="28"/>
          <w:szCs w:val="28"/>
        </w:rPr>
        <w:t xml:space="preserve"> об'єкт до туристичних маршрутів та розширити можливості його використання;</w:t>
      </w:r>
    </w:p>
    <w:p w:rsidR="001701CA" w:rsidRPr="006E51E2" w:rsidRDefault="00170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91"/>
        </w:tabs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 xml:space="preserve">Основними завданнями і заходами щодо збереження </w:t>
      </w:r>
      <w:r w:rsidRPr="006E51E2">
        <w:rPr>
          <w:color w:val="000000" w:themeColor="text1"/>
          <w:sz w:val="28"/>
          <w:szCs w:val="28"/>
        </w:rPr>
        <w:t>старої ратуші (ох. №65 М)</w:t>
      </w:r>
      <w:r w:rsidRPr="006E51E2">
        <w:rPr>
          <w:color w:val="000000" w:themeColor="text1"/>
          <w:sz w:val="28"/>
          <w:szCs w:val="28"/>
        </w:rPr>
        <w:t xml:space="preserve"> у місті Чортків  є: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 xml:space="preserve">- </w:t>
      </w:r>
      <w:r w:rsidRPr="006E51E2">
        <w:rPr>
          <w:color w:val="000000" w:themeColor="text1"/>
          <w:sz w:val="28"/>
          <w:szCs w:val="28"/>
        </w:rPr>
        <w:t>актуалізація кошторисної документації «Проектно-кошторисна документація для виконан</w:t>
      </w:r>
      <w:r w:rsidRPr="006E51E2">
        <w:rPr>
          <w:color w:val="000000" w:themeColor="text1"/>
          <w:sz w:val="28"/>
          <w:szCs w:val="28"/>
        </w:rPr>
        <w:t>ня ремонтно-реставраційних робіт на пам’ятці архітектури місцевого значення 1905 року будівлі Старої ратуші по вул. Ринок, 20  в  м. Чортків Тернопільської області» ( ох. № 65-М) та проведення експертизи</w:t>
      </w:r>
      <w:r w:rsidRPr="006E51E2">
        <w:rPr>
          <w:color w:val="000000" w:themeColor="text1"/>
          <w:sz w:val="28"/>
          <w:szCs w:val="28"/>
        </w:rPr>
        <w:t>;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 xml:space="preserve">- </w:t>
      </w:r>
      <w:r w:rsidRPr="006E51E2">
        <w:rPr>
          <w:color w:val="000000" w:themeColor="text1"/>
          <w:sz w:val="28"/>
          <w:szCs w:val="28"/>
        </w:rPr>
        <w:t>виконання ремонтно-реставраційних робіт на пам’ятці архітектури місцевого значення 1905 року будівлі Старої ратуші;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 xml:space="preserve">- </w:t>
      </w:r>
      <w:r w:rsidRPr="006E51E2">
        <w:rPr>
          <w:color w:val="000000" w:themeColor="text1"/>
          <w:sz w:val="28"/>
          <w:szCs w:val="28"/>
        </w:rPr>
        <w:t xml:space="preserve">пристосування </w:t>
      </w:r>
      <w:r w:rsidRPr="006E51E2">
        <w:rPr>
          <w:color w:val="000000" w:themeColor="text1"/>
          <w:sz w:val="28"/>
          <w:szCs w:val="28"/>
        </w:rPr>
        <w:t xml:space="preserve">об’єкта </w:t>
      </w:r>
      <w:r w:rsidRPr="006E51E2">
        <w:rPr>
          <w:color w:val="000000" w:themeColor="text1"/>
          <w:sz w:val="28"/>
          <w:szCs w:val="28"/>
        </w:rPr>
        <w:t>для відвідування туристами</w:t>
      </w:r>
      <w:r w:rsidRPr="006E51E2">
        <w:rPr>
          <w:color w:val="000000" w:themeColor="text1"/>
          <w:sz w:val="28"/>
          <w:szCs w:val="28"/>
        </w:rPr>
        <w:t>.</w:t>
      </w:r>
    </w:p>
    <w:p w:rsidR="001701CA" w:rsidRPr="006E51E2" w:rsidRDefault="00170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E51E2">
        <w:rPr>
          <w:b/>
          <w:color w:val="000000" w:themeColor="text1"/>
          <w:sz w:val="28"/>
          <w:szCs w:val="28"/>
        </w:rPr>
        <w:t>6. Заходи Програми</w:t>
      </w:r>
    </w:p>
    <w:p w:rsidR="001701CA" w:rsidRPr="006E51E2" w:rsidRDefault="00170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5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7"/>
        <w:tblW w:w="10005" w:type="dxa"/>
        <w:tblInd w:w="-53" w:type="dxa"/>
        <w:tblLayout w:type="fixed"/>
        <w:tblLook w:val="0000"/>
      </w:tblPr>
      <w:tblGrid>
        <w:gridCol w:w="120"/>
        <w:gridCol w:w="510"/>
        <w:gridCol w:w="3225"/>
        <w:gridCol w:w="1875"/>
        <w:gridCol w:w="1065"/>
        <w:gridCol w:w="1440"/>
        <w:gridCol w:w="1770"/>
      </w:tblGrid>
      <w:tr w:rsidR="001701CA" w:rsidRPr="006E51E2">
        <w:trPr>
          <w:trHeight w:val="1548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6E51E2">
              <w:rPr>
                <w:b/>
                <w:color w:val="000000" w:themeColor="text1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b/>
                <w:color w:val="000000" w:themeColor="text1"/>
                <w:sz w:val="28"/>
                <w:szCs w:val="28"/>
              </w:rPr>
              <w:t>Назва заходу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E51E2">
              <w:rPr>
                <w:b/>
                <w:color w:val="000000" w:themeColor="text1"/>
                <w:sz w:val="28"/>
                <w:szCs w:val="28"/>
              </w:rPr>
              <w:t xml:space="preserve">Відповідальні </w:t>
            </w:r>
          </w:p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b/>
                <w:color w:val="000000" w:themeColor="text1"/>
                <w:sz w:val="28"/>
                <w:szCs w:val="28"/>
              </w:rPr>
              <w:t>за виконання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b/>
                <w:color w:val="000000" w:themeColor="text1"/>
                <w:sz w:val="28"/>
                <w:szCs w:val="28"/>
              </w:rPr>
              <w:t>Строк виконання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b/>
                <w:color w:val="000000" w:themeColor="text1"/>
                <w:sz w:val="28"/>
                <w:szCs w:val="28"/>
              </w:rPr>
              <w:t>Орієнтовний обсяг фінансування, тис. грн.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b/>
                <w:color w:val="000000" w:themeColor="text1"/>
                <w:sz w:val="28"/>
                <w:szCs w:val="28"/>
              </w:rPr>
              <w:t>Джерела фінансування</w:t>
            </w:r>
          </w:p>
        </w:tc>
      </w:tr>
      <w:tr w:rsidR="001701CA" w:rsidRPr="006E51E2">
        <w:trPr>
          <w:trHeight w:val="2196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45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01CA" w:rsidRPr="006E51E2" w:rsidRDefault="006E51E2">
            <w:pPr>
              <w:pStyle w:val="normal"/>
              <w:widowControl w:val="0"/>
              <w:shd w:val="clear" w:color="auto" w:fill="FFFFFF"/>
              <w:spacing w:after="16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Перерахунок кошторисної документації «Проектно-кошторисна документація для виконання ремонтно-реставраційних робіт на пам’ятці архітектури місцевого значення 1905 року будівлі Старої ратуші по вул. Ринок, 20  в  м. Чортків Тернопільської області» ( ох. № 6</w:t>
            </w:r>
            <w:r w:rsidRPr="006E51E2">
              <w:rPr>
                <w:color w:val="000000" w:themeColor="text1"/>
                <w:sz w:val="28"/>
                <w:szCs w:val="28"/>
              </w:rPr>
              <w:t>5-М), в цінах 2021р.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1CA" w:rsidRPr="006E51E2" w:rsidRDefault="006E51E2">
            <w:pPr>
              <w:pStyle w:val="normal"/>
              <w:widowControl w:val="0"/>
              <w:shd w:val="clear" w:color="auto" w:fill="FFFFFF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 міської ради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2021 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Бюджет Чортківської міської територіальної громади</w:t>
            </w:r>
          </w:p>
        </w:tc>
      </w:tr>
      <w:tr w:rsidR="001701CA" w:rsidRPr="006E51E2">
        <w:trPr>
          <w:trHeight w:val="2472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 w:rsidRPr="006E51E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Проведення експертизи проектно-кошторисної документації  для виконання ремонтно-реставраційних робіт на пам’ятці архітектури місцевого значення 1905 року будівлі Старої ратуші по вул. Ринок, 20  в  м. Чортків Тернопільської області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01CA" w:rsidRPr="006E51E2" w:rsidRDefault="006E51E2">
            <w:pPr>
              <w:pStyle w:val="normal"/>
              <w:widowControl w:val="0"/>
              <w:shd w:val="clear" w:color="auto" w:fill="FFFFFF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Відділ архітектури та мі</w:t>
            </w:r>
            <w:r w:rsidRPr="006E51E2">
              <w:rPr>
                <w:color w:val="000000" w:themeColor="text1"/>
                <w:sz w:val="28"/>
                <w:szCs w:val="28"/>
              </w:rPr>
              <w:t xml:space="preserve">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2021 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Бюджет Чортківської міської територіальної громади</w:t>
            </w:r>
          </w:p>
        </w:tc>
      </w:tr>
      <w:tr w:rsidR="001701CA" w:rsidRPr="006E51E2">
        <w:trPr>
          <w:trHeight w:val="2977"/>
        </w:trPr>
        <w:tc>
          <w:tcPr>
            <w:tcW w:w="120" w:type="dxa"/>
          </w:tcPr>
          <w:p w:rsidR="001701CA" w:rsidRPr="006E51E2" w:rsidRDefault="001701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3</w:t>
            </w:r>
            <w:r w:rsidRPr="006E51E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Виконання ремонтно-реставраційних робіт на пам’ятці архітектури місцевого значення 1905 року будівлі Старої ратуші по вул. Ринок, 20  в  м. Чортків Тернопільської області (а саме: реставрація фахверкових стін, дахів, мідного флюгера і шпиля,  вітражних зап</w:t>
            </w:r>
            <w:r w:rsidRPr="006E51E2">
              <w:rPr>
                <w:color w:val="000000" w:themeColor="text1"/>
                <w:sz w:val="28"/>
                <w:szCs w:val="28"/>
              </w:rPr>
              <w:t>овнень, стін інтер’єрів, циферблатів)</w:t>
            </w:r>
          </w:p>
          <w:p w:rsidR="001701CA" w:rsidRPr="006E51E2" w:rsidRDefault="001701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701CA" w:rsidRPr="006E51E2" w:rsidRDefault="006E51E2">
            <w:pPr>
              <w:pStyle w:val="normal"/>
              <w:widowControl w:val="0"/>
              <w:shd w:val="clear" w:color="auto" w:fill="FFFFFF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 xml:space="preserve">2021-2022 </w:t>
            </w:r>
            <w:r w:rsidRPr="006E51E2">
              <w:rPr>
                <w:color w:val="000000" w:themeColor="text1"/>
                <w:sz w:val="28"/>
                <w:szCs w:val="28"/>
              </w:rPr>
              <w:t xml:space="preserve"> рр.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701CA" w:rsidRPr="006E51E2" w:rsidRDefault="006E51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E51E2">
              <w:rPr>
                <w:color w:val="000000" w:themeColor="text1"/>
                <w:sz w:val="28"/>
                <w:szCs w:val="28"/>
              </w:rPr>
              <w:t>Бюджет Чортківської міської територіальної громади</w:t>
            </w:r>
          </w:p>
        </w:tc>
      </w:tr>
    </w:tbl>
    <w:p w:rsidR="001701CA" w:rsidRPr="006E51E2" w:rsidRDefault="00170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5"/>
        <w:jc w:val="both"/>
        <w:rPr>
          <w:b/>
          <w:color w:val="000000" w:themeColor="text1"/>
          <w:sz w:val="28"/>
          <w:szCs w:val="28"/>
        </w:rPr>
      </w:pP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5"/>
        <w:jc w:val="center"/>
        <w:rPr>
          <w:b/>
          <w:color w:val="000000" w:themeColor="text1"/>
          <w:sz w:val="28"/>
          <w:szCs w:val="28"/>
        </w:rPr>
      </w:pPr>
      <w:r w:rsidRPr="006E51E2">
        <w:rPr>
          <w:b/>
          <w:color w:val="000000" w:themeColor="text1"/>
          <w:sz w:val="28"/>
          <w:szCs w:val="28"/>
        </w:rPr>
        <w:t>7. Координація та контроль за ходом виконання Програми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5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 xml:space="preserve">Безпосередній контроль за здійсненням заходів, визначених цільовою Програмою, покладається на </w:t>
      </w:r>
      <w:r w:rsidRPr="006E51E2">
        <w:rPr>
          <w:color w:val="000000" w:themeColor="text1"/>
          <w:sz w:val="28"/>
          <w:szCs w:val="28"/>
        </w:rPr>
        <w:t xml:space="preserve">управління культури облдержадміністрації, як органу охорони культурної спадщини. 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5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 xml:space="preserve">Виконавці, які зазначені у Програмі, раз на </w:t>
      </w:r>
      <w:r w:rsidRPr="006E51E2">
        <w:rPr>
          <w:color w:val="000000" w:themeColor="text1"/>
          <w:sz w:val="28"/>
          <w:szCs w:val="28"/>
        </w:rPr>
        <w:t>рік</w:t>
      </w:r>
      <w:r w:rsidRPr="006E51E2">
        <w:rPr>
          <w:color w:val="000000" w:themeColor="text1"/>
          <w:sz w:val="28"/>
          <w:szCs w:val="28"/>
        </w:rPr>
        <w:t xml:space="preserve"> подають до управління культури облдержадміністрації узагальнену інформацію про стан та результати її виконання.</w:t>
      </w: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30"/>
        <w:jc w:val="both"/>
        <w:rPr>
          <w:color w:val="000000" w:themeColor="text1"/>
          <w:sz w:val="28"/>
          <w:szCs w:val="28"/>
        </w:rPr>
      </w:pPr>
      <w:r w:rsidRPr="006E51E2">
        <w:rPr>
          <w:color w:val="000000" w:themeColor="text1"/>
          <w:sz w:val="28"/>
          <w:szCs w:val="28"/>
        </w:rPr>
        <w:t>За результатами здійснення заходів Програми в кінці кожного року уточнюються заходи та обсяги ви</w:t>
      </w:r>
      <w:r w:rsidRPr="006E51E2">
        <w:rPr>
          <w:color w:val="000000" w:themeColor="text1"/>
          <w:sz w:val="28"/>
          <w:szCs w:val="28"/>
        </w:rPr>
        <w:t>датків на наступний період.</w:t>
      </w:r>
    </w:p>
    <w:p w:rsidR="001701CA" w:rsidRPr="006E51E2" w:rsidRDefault="00170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30"/>
        <w:jc w:val="both"/>
        <w:rPr>
          <w:color w:val="000000" w:themeColor="text1"/>
          <w:sz w:val="28"/>
          <w:szCs w:val="28"/>
        </w:rPr>
      </w:pPr>
    </w:p>
    <w:p w:rsidR="001701CA" w:rsidRPr="006E51E2" w:rsidRDefault="00170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1701CA" w:rsidRPr="006E51E2" w:rsidRDefault="006E51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6E51E2">
        <w:rPr>
          <w:b/>
          <w:color w:val="000000" w:themeColor="text1"/>
          <w:sz w:val="28"/>
          <w:szCs w:val="28"/>
        </w:rPr>
        <w:t>Секретар міської ради                                                               Ярослав ДЗИНДРА</w:t>
      </w:r>
    </w:p>
    <w:sectPr w:rsidR="001701CA" w:rsidRPr="006E51E2" w:rsidSect="001701CA">
      <w:pgSz w:w="12240" w:h="15840"/>
      <w:pgMar w:top="1133" w:right="566" w:bottom="1133" w:left="170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/>
  <w:rsids>
    <w:rsidRoot w:val="001701CA"/>
    <w:rsid w:val="001701CA"/>
    <w:rsid w:val="006E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701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701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701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701C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1701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701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701CA"/>
  </w:style>
  <w:style w:type="table" w:customStyle="1" w:styleId="TableNormal">
    <w:name w:val="Table Normal"/>
    <w:rsid w:val="001701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701C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701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701CA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6">
    <w:basedOn w:val="TableNormal"/>
    <w:rsid w:val="001701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1701CA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6709</Words>
  <Characters>3825</Characters>
  <Application>Microsoft Office Word</Application>
  <DocSecurity>0</DocSecurity>
  <Lines>31</Lines>
  <Paragraphs>21</Paragraphs>
  <ScaleCrop>false</ScaleCrop>
  <Company/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Cadastre-PC</cp:lastModifiedBy>
  <cp:revision>3</cp:revision>
  <dcterms:created xsi:type="dcterms:W3CDTF">2021-05-17T13:28:00Z</dcterms:created>
  <dcterms:modified xsi:type="dcterms:W3CDTF">2021-05-17T13:28:00Z</dcterms:modified>
</cp:coreProperties>
</file>