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DD3E54" w:rsidTr="00DD3E54">
        <w:tc>
          <w:tcPr>
            <w:tcW w:w="5637" w:type="dxa"/>
          </w:tcPr>
          <w:p w:rsidR="00DD3E54" w:rsidRDefault="00DD3E54" w:rsidP="00DD3E54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D3E54" w:rsidRDefault="00DD3E54" w:rsidP="00DD3E54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  <w:r w:rsidRPr="005D5E86">
              <w:rPr>
                <w:rFonts w:ascii="Times New Roman" w:hAnsi="Times New Roman" w:cs="Arial"/>
                <w:sz w:val="28"/>
                <w:szCs w:val="20"/>
                <w:lang w:eastAsia="ru-RU"/>
              </w:rPr>
              <w:t>Додато</w:t>
            </w:r>
            <w:r>
              <w:rPr>
                <w:rFonts w:ascii="Times New Roman" w:hAnsi="Times New Roman" w:cs="Arial"/>
                <w:sz w:val="28"/>
                <w:szCs w:val="20"/>
                <w:lang w:eastAsia="ru-RU"/>
              </w:rPr>
              <w:t>к 1</w:t>
            </w:r>
          </w:p>
        </w:tc>
      </w:tr>
      <w:tr w:rsidR="00DD3E54" w:rsidTr="00DD3E54">
        <w:tc>
          <w:tcPr>
            <w:tcW w:w="5637" w:type="dxa"/>
          </w:tcPr>
          <w:p w:rsidR="00DD3E54" w:rsidRDefault="00DD3E54" w:rsidP="00DD3E54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D3E54" w:rsidRDefault="00DD3E54" w:rsidP="00DD3E54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  <w:r w:rsidRPr="00D657CE">
              <w:rPr>
                <w:rFonts w:ascii="Times New Roman" w:hAnsi="Times New Roman" w:cs="Arial"/>
                <w:sz w:val="28"/>
                <w:szCs w:val="20"/>
                <w:lang w:eastAsia="ru-RU"/>
              </w:rPr>
              <w:t xml:space="preserve">до рішення виконавчого комітету </w:t>
            </w:r>
          </w:p>
          <w:p w:rsidR="00DD3E54" w:rsidRPr="00D657CE" w:rsidRDefault="00DD3E54" w:rsidP="00DD3E54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0"/>
                <w:lang w:eastAsia="ru-RU"/>
              </w:rPr>
              <w:t xml:space="preserve">від 03 вересня 2021року </w:t>
            </w:r>
            <w:r w:rsidRPr="00D657CE">
              <w:rPr>
                <w:rFonts w:ascii="Times New Roman" w:hAnsi="Times New Roman" w:cs="Arial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Arial"/>
                <w:sz w:val="28"/>
                <w:szCs w:val="20"/>
                <w:lang w:eastAsia="ru-RU"/>
              </w:rPr>
              <w:t xml:space="preserve"> 412</w:t>
            </w:r>
          </w:p>
          <w:p w:rsidR="00DD3E54" w:rsidRDefault="00DD3E54" w:rsidP="00DD3E54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</w:p>
        </w:tc>
      </w:tr>
    </w:tbl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6214D5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Розмір щомісячної плати за навчання</w:t>
      </w:r>
    </w:p>
    <w:p w:rsidR="006214D5" w:rsidRDefault="006214D5" w:rsidP="006214D5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у Чортківській міській музичні школі </w:t>
      </w:r>
    </w:p>
    <w:p w:rsidR="006214D5" w:rsidRDefault="006214D5" w:rsidP="006214D5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 2021-2022 навчальний рік</w:t>
      </w:r>
    </w:p>
    <w:p w:rsidR="006214D5" w:rsidRDefault="006214D5" w:rsidP="00143E78">
      <w:pPr>
        <w:suppressAutoHyphens/>
        <w:spacing w:after="0" w:line="240" w:lineRule="auto"/>
        <w:ind w:right="-13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4076"/>
      </w:tblGrid>
      <w:tr w:rsidR="00143E78" w:rsidTr="006214D5">
        <w:tc>
          <w:tcPr>
            <w:tcW w:w="675" w:type="dxa"/>
          </w:tcPr>
          <w:p w:rsid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103" w:type="dxa"/>
          </w:tcPr>
          <w:p w:rsid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Назва відділу/інструменту</w:t>
            </w:r>
          </w:p>
          <w:p w:rsid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77" w:type="dxa"/>
          </w:tcPr>
          <w:p w:rsid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Сума, грн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143E78">
            <w:pPr>
              <w:suppressAutoHyphens/>
              <w:ind w:right="-13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3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Фортепіано, гітара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143E78">
            <w:pPr>
              <w:suppressAutoHyphens/>
              <w:ind w:right="-13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3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Баян, акардеон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Струнно-смичкові інструменти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Бандура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Духові інструменти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Відділ образотворчого мистецтва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Вокал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143E78" w:rsidRPr="00143E78" w:rsidTr="006214D5">
        <w:tc>
          <w:tcPr>
            <w:tcW w:w="675" w:type="dxa"/>
          </w:tcPr>
          <w:p w:rsidR="00143E78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103" w:type="dxa"/>
          </w:tcPr>
          <w:p w:rsidR="00143E78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Театральний відділ</w:t>
            </w:r>
          </w:p>
        </w:tc>
        <w:tc>
          <w:tcPr>
            <w:tcW w:w="4077" w:type="dxa"/>
          </w:tcPr>
          <w:p w:rsidR="00143E78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</w:tbl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F00B0" w:rsidRDefault="000C4205" w:rsidP="008F00B0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6214D5" w:rsidRDefault="000C4205" w:rsidP="008F00B0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виконавчого комітету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Ольга ЧЕРЕДНІКОВА</w:t>
      </w: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DD3E54" w:rsidTr="00A0410F">
        <w:tc>
          <w:tcPr>
            <w:tcW w:w="5637" w:type="dxa"/>
          </w:tcPr>
          <w:p w:rsidR="00DD3E54" w:rsidRDefault="00DD3E54" w:rsidP="00A0410F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D3E54" w:rsidRDefault="00DD3E54" w:rsidP="00DD3E54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  <w:r w:rsidRPr="005D5E86">
              <w:rPr>
                <w:rFonts w:ascii="Times New Roman" w:hAnsi="Times New Roman" w:cs="Arial"/>
                <w:sz w:val="28"/>
                <w:szCs w:val="20"/>
                <w:lang w:eastAsia="ru-RU"/>
              </w:rPr>
              <w:t>Додато</w:t>
            </w:r>
            <w:r>
              <w:rPr>
                <w:rFonts w:ascii="Times New Roman" w:hAnsi="Times New Roman" w:cs="Arial"/>
                <w:sz w:val="28"/>
                <w:szCs w:val="20"/>
                <w:lang w:eastAsia="ru-RU"/>
              </w:rPr>
              <w:t>к 2</w:t>
            </w:r>
          </w:p>
        </w:tc>
      </w:tr>
      <w:tr w:rsidR="00DD3E54" w:rsidTr="00A0410F">
        <w:tc>
          <w:tcPr>
            <w:tcW w:w="5637" w:type="dxa"/>
          </w:tcPr>
          <w:p w:rsidR="00DD3E54" w:rsidRDefault="00DD3E54" w:rsidP="00A0410F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D3E54" w:rsidRDefault="00DD3E54" w:rsidP="00A0410F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  <w:r w:rsidRPr="00D657CE">
              <w:rPr>
                <w:rFonts w:ascii="Times New Roman" w:hAnsi="Times New Roman" w:cs="Arial"/>
                <w:sz w:val="28"/>
                <w:szCs w:val="20"/>
                <w:lang w:eastAsia="ru-RU"/>
              </w:rPr>
              <w:t xml:space="preserve">до рішення виконавчого комітету </w:t>
            </w:r>
          </w:p>
          <w:p w:rsidR="00DD3E54" w:rsidRPr="00D657CE" w:rsidRDefault="00DD3E54" w:rsidP="00A0410F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0"/>
                <w:lang w:eastAsia="ru-RU"/>
              </w:rPr>
              <w:t xml:space="preserve">від 03 вересня 2021року </w:t>
            </w:r>
            <w:r w:rsidRPr="00D657CE">
              <w:rPr>
                <w:rFonts w:ascii="Times New Roman" w:hAnsi="Times New Roman" w:cs="Arial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Arial"/>
                <w:sz w:val="28"/>
                <w:szCs w:val="20"/>
                <w:lang w:eastAsia="ru-RU"/>
              </w:rPr>
              <w:t xml:space="preserve"> 412</w:t>
            </w:r>
          </w:p>
          <w:p w:rsidR="00DD3E54" w:rsidRDefault="00DD3E54" w:rsidP="00A0410F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</w:p>
        </w:tc>
      </w:tr>
    </w:tbl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143E78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Перелік пільг щодо плати за навчання </w:t>
      </w:r>
    </w:p>
    <w:p w:rsidR="00143E78" w:rsidRDefault="00143E78" w:rsidP="00143E78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у Чортківській міській музичній школі </w:t>
      </w:r>
    </w:p>
    <w:p w:rsidR="006214D5" w:rsidRDefault="00143E78" w:rsidP="00143E78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 2021-2022 навчальний рік</w:t>
      </w: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675"/>
        <w:gridCol w:w="5894"/>
        <w:gridCol w:w="3285"/>
      </w:tblGrid>
      <w:tr w:rsidR="00143E78" w:rsidTr="00143E78">
        <w:tc>
          <w:tcPr>
            <w:tcW w:w="675" w:type="dxa"/>
          </w:tcPr>
          <w:p w:rsid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895" w:type="dxa"/>
          </w:tcPr>
          <w:p w:rsid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Пільгова категорія</w:t>
            </w:r>
          </w:p>
        </w:tc>
        <w:tc>
          <w:tcPr>
            <w:tcW w:w="3285" w:type="dxa"/>
          </w:tcPr>
          <w:p w:rsid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Розмір пільги у %</w:t>
            </w:r>
          </w:p>
        </w:tc>
      </w:tr>
      <w:tr w:rsidR="00143E78" w:rsidTr="00143E78">
        <w:tc>
          <w:tcPr>
            <w:tcW w:w="675" w:type="dxa"/>
          </w:tcPr>
          <w:p w:rsidR="00143E78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95" w:type="dxa"/>
          </w:tcPr>
          <w:p w:rsidR="00143E78" w:rsidRPr="00CD218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Діти із багатодітних сімей</w:t>
            </w:r>
          </w:p>
        </w:tc>
        <w:tc>
          <w:tcPr>
            <w:tcW w:w="3285" w:type="dxa"/>
          </w:tcPr>
          <w:p w:rsidR="00143E78" w:rsidRPr="00CD2185" w:rsidRDefault="00CD2185" w:rsidP="00CD2185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143E78" w:rsidTr="00143E78">
        <w:tc>
          <w:tcPr>
            <w:tcW w:w="675" w:type="dxa"/>
          </w:tcPr>
          <w:p w:rsidR="00143E78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95" w:type="dxa"/>
          </w:tcPr>
          <w:p w:rsidR="00143E78" w:rsidRPr="00CD2185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Діти-інваліди</w:t>
            </w:r>
          </w:p>
        </w:tc>
        <w:tc>
          <w:tcPr>
            <w:tcW w:w="3285" w:type="dxa"/>
          </w:tcPr>
          <w:p w:rsidR="00143E78" w:rsidRPr="00CD2185" w:rsidRDefault="00CD2185" w:rsidP="00CD2185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143E78" w:rsidTr="00143E78">
        <w:tc>
          <w:tcPr>
            <w:tcW w:w="675" w:type="dxa"/>
          </w:tcPr>
          <w:p w:rsidR="00143E78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95" w:type="dxa"/>
          </w:tcPr>
          <w:p w:rsidR="00143E78" w:rsidRPr="00CD2185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Діти із малозабезпечених сімей</w:t>
            </w:r>
          </w:p>
        </w:tc>
        <w:tc>
          <w:tcPr>
            <w:tcW w:w="3285" w:type="dxa"/>
          </w:tcPr>
          <w:p w:rsidR="00143E78" w:rsidRPr="00CD2185" w:rsidRDefault="00CD2185" w:rsidP="00CD2185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143E78" w:rsidTr="00143E78">
        <w:tc>
          <w:tcPr>
            <w:tcW w:w="675" w:type="dxa"/>
          </w:tcPr>
          <w:p w:rsidR="00143E78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95" w:type="dxa"/>
          </w:tcPr>
          <w:p w:rsidR="00143E78" w:rsidRPr="00CD2185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Діти-сироти та позбавлені батьківського піклування</w:t>
            </w:r>
          </w:p>
        </w:tc>
        <w:tc>
          <w:tcPr>
            <w:tcW w:w="3285" w:type="dxa"/>
          </w:tcPr>
          <w:p w:rsidR="00143E78" w:rsidRPr="00CD2185" w:rsidRDefault="00CD2185" w:rsidP="00CD2185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143E78" w:rsidTr="00143E78">
        <w:tc>
          <w:tcPr>
            <w:tcW w:w="675" w:type="dxa"/>
          </w:tcPr>
          <w:p w:rsidR="00143E78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95" w:type="dxa"/>
          </w:tcPr>
          <w:p w:rsidR="00143E78" w:rsidRPr="00CD2185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Діти, батьки яких є учасниками АТО</w:t>
            </w:r>
          </w:p>
        </w:tc>
        <w:tc>
          <w:tcPr>
            <w:tcW w:w="3285" w:type="dxa"/>
          </w:tcPr>
          <w:p w:rsidR="00143E78" w:rsidRPr="00CD2185" w:rsidRDefault="00CD2185" w:rsidP="00CD2185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Pr="00DD3E54" w:rsidRDefault="00CD2185" w:rsidP="00DD3E54">
      <w:pPr>
        <w:pStyle w:val="a4"/>
        <w:numPr>
          <w:ilvl w:val="0"/>
          <w:numId w:val="3"/>
        </w:num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Додаткові пільги щодо плати за навчання у Чортківській міській музичній школа на 2021-2022 навчальний рік</w:t>
      </w: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675"/>
        <w:gridCol w:w="5894"/>
        <w:gridCol w:w="3285"/>
      </w:tblGrid>
      <w:tr w:rsidR="00CD2185" w:rsidTr="00DA66F2">
        <w:tc>
          <w:tcPr>
            <w:tcW w:w="675" w:type="dxa"/>
          </w:tcPr>
          <w:p w:rsidR="00CD2185" w:rsidRDefault="00CD2185" w:rsidP="00DA66F2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895" w:type="dxa"/>
          </w:tcPr>
          <w:p w:rsidR="00CD2185" w:rsidRDefault="00CD2185" w:rsidP="00DA66F2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Пільгова категорія</w:t>
            </w:r>
          </w:p>
        </w:tc>
        <w:tc>
          <w:tcPr>
            <w:tcW w:w="3285" w:type="dxa"/>
          </w:tcPr>
          <w:p w:rsidR="00CD2185" w:rsidRDefault="00CD2185" w:rsidP="00DA66F2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Розмір пільги у %</w:t>
            </w:r>
          </w:p>
        </w:tc>
      </w:tr>
      <w:tr w:rsidR="00CD2185" w:rsidTr="00DA66F2">
        <w:tc>
          <w:tcPr>
            <w:tcW w:w="675" w:type="dxa"/>
          </w:tcPr>
          <w:p w:rsidR="00CD2185" w:rsidRDefault="00CD2185" w:rsidP="00DA66F2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95" w:type="dxa"/>
          </w:tcPr>
          <w:p w:rsidR="00CD2185" w:rsidRPr="00CD2185" w:rsidRDefault="00CD2185" w:rsidP="00DA66F2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Діти, які навчаються грі одночасно на двох музичних інструментах або навчаються на двох відділах</w:t>
            </w:r>
          </w:p>
        </w:tc>
        <w:tc>
          <w:tcPr>
            <w:tcW w:w="3285" w:type="dxa"/>
          </w:tcPr>
          <w:p w:rsidR="00CD2185" w:rsidRPr="00CD2185" w:rsidRDefault="00CD2185" w:rsidP="00DA66F2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</w:t>
            </w:r>
          </w:p>
        </w:tc>
      </w:tr>
    </w:tbl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F00B0" w:rsidRDefault="000C4205" w:rsidP="008F00B0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6214D5" w:rsidRDefault="000C4205" w:rsidP="008F00B0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виконавчого комітету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Ольга ЧЕРЕДНІКОВА</w:t>
      </w: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DD3E54" w:rsidTr="00A0410F">
        <w:tc>
          <w:tcPr>
            <w:tcW w:w="5637" w:type="dxa"/>
          </w:tcPr>
          <w:p w:rsidR="00DD3E54" w:rsidRDefault="00DD3E54" w:rsidP="00A0410F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D3E54" w:rsidRDefault="00DD3E54" w:rsidP="00DD3E54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  <w:r w:rsidRPr="005D5E86">
              <w:rPr>
                <w:rFonts w:ascii="Times New Roman" w:hAnsi="Times New Roman" w:cs="Arial"/>
                <w:sz w:val="28"/>
                <w:szCs w:val="20"/>
                <w:lang w:eastAsia="ru-RU"/>
              </w:rPr>
              <w:t>Додато</w:t>
            </w:r>
            <w:r>
              <w:rPr>
                <w:rFonts w:ascii="Times New Roman" w:hAnsi="Times New Roman" w:cs="Arial"/>
                <w:sz w:val="28"/>
                <w:szCs w:val="20"/>
                <w:lang w:eastAsia="ru-RU"/>
              </w:rPr>
              <w:t>к 3</w:t>
            </w:r>
          </w:p>
        </w:tc>
      </w:tr>
      <w:tr w:rsidR="00DD3E54" w:rsidTr="00A0410F">
        <w:tc>
          <w:tcPr>
            <w:tcW w:w="5637" w:type="dxa"/>
          </w:tcPr>
          <w:p w:rsidR="00DD3E54" w:rsidRDefault="00DD3E54" w:rsidP="00A0410F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D3E54" w:rsidRDefault="00DD3E54" w:rsidP="00A0410F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  <w:r w:rsidRPr="00D657CE">
              <w:rPr>
                <w:rFonts w:ascii="Times New Roman" w:hAnsi="Times New Roman" w:cs="Arial"/>
                <w:sz w:val="28"/>
                <w:szCs w:val="20"/>
                <w:lang w:eastAsia="ru-RU"/>
              </w:rPr>
              <w:t xml:space="preserve">до рішення виконавчого комітету </w:t>
            </w:r>
          </w:p>
          <w:p w:rsidR="00DD3E54" w:rsidRPr="00D657CE" w:rsidRDefault="00DD3E54" w:rsidP="00A0410F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0"/>
                <w:lang w:eastAsia="ru-RU"/>
              </w:rPr>
              <w:t xml:space="preserve">від 03 вересня 2021року </w:t>
            </w:r>
            <w:r w:rsidRPr="00D657CE">
              <w:rPr>
                <w:rFonts w:ascii="Times New Roman" w:hAnsi="Times New Roman" w:cs="Arial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Arial"/>
                <w:sz w:val="28"/>
                <w:szCs w:val="20"/>
                <w:lang w:eastAsia="ru-RU"/>
              </w:rPr>
              <w:t xml:space="preserve"> 412</w:t>
            </w:r>
          </w:p>
          <w:p w:rsidR="00DD3E54" w:rsidRDefault="00DD3E54" w:rsidP="00A0410F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</w:p>
        </w:tc>
      </w:tr>
    </w:tbl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CD2185" w:rsidRPr="00DD3E54" w:rsidRDefault="00CD2185" w:rsidP="00CD2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3E54">
        <w:rPr>
          <w:rFonts w:ascii="Times New Roman" w:hAnsi="Times New Roman"/>
          <w:b/>
          <w:sz w:val="28"/>
          <w:szCs w:val="28"/>
          <w:lang w:eastAsia="ru-RU"/>
        </w:rPr>
        <w:t>ПОЛОЖЕННЯ</w:t>
      </w:r>
    </w:p>
    <w:p w:rsidR="00CD2185" w:rsidRPr="00DD3E54" w:rsidRDefault="00CD2185" w:rsidP="00CD2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3E54">
        <w:rPr>
          <w:rFonts w:ascii="Times New Roman" w:hAnsi="Times New Roman"/>
          <w:b/>
          <w:sz w:val="28"/>
          <w:szCs w:val="28"/>
          <w:lang w:eastAsia="ru-RU"/>
        </w:rPr>
        <w:t>про перелік та порядок надання платних послуг</w:t>
      </w:r>
    </w:p>
    <w:p w:rsidR="00CD2185" w:rsidRPr="00DD3E54" w:rsidRDefault="00CD2185" w:rsidP="00CD2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3E54">
        <w:rPr>
          <w:rFonts w:ascii="Times New Roman" w:hAnsi="Times New Roman"/>
          <w:b/>
          <w:sz w:val="28"/>
          <w:szCs w:val="28"/>
          <w:lang w:eastAsia="ru-RU"/>
        </w:rPr>
        <w:t>Чортківською міською музичною школою</w:t>
      </w:r>
    </w:p>
    <w:p w:rsidR="00CD2185" w:rsidRPr="00DD3E54" w:rsidRDefault="00CD2185" w:rsidP="00CD2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00B0" w:rsidRDefault="00CD2185" w:rsidP="008F00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3E54">
        <w:rPr>
          <w:rFonts w:ascii="Times New Roman" w:hAnsi="Times New Roman"/>
          <w:b/>
          <w:sz w:val="28"/>
          <w:szCs w:val="28"/>
          <w:lang w:eastAsia="ru-RU"/>
        </w:rPr>
        <w:t>1.Загальні положення</w:t>
      </w:r>
    </w:p>
    <w:p w:rsidR="008F00B0" w:rsidRPr="008B3165" w:rsidRDefault="00CD2185" w:rsidP="008F00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1.1. Чортківська міська музична школа здійснює свою діяльність відповідно до Положення про початковий спеціалізований мистецький навчальний заклад, затвердженим наказом Мінкультури від 06.08.2001р. № 523, Переліку платних послуг, які можуть надаватись навчальними закладами, іншими установами та закладами системи освіти, що належать до державної та комунальної форм власності, затвердженого постановою КМУ від 27.08.2010р. № 796, Порядку визначення вартості та надання платних послуг закладами культури, заснованими на державній та комунальній формі власності, затвердженим спільним наказ</w:t>
      </w:r>
      <w:r w:rsidR="008F00B0">
        <w:rPr>
          <w:rFonts w:ascii="Times New Roman" w:hAnsi="Times New Roman"/>
          <w:sz w:val="28"/>
          <w:szCs w:val="28"/>
          <w:lang w:eastAsia="ru-RU"/>
        </w:rPr>
        <w:t>о</w:t>
      </w:r>
      <w:r w:rsidRPr="00DD3E54">
        <w:rPr>
          <w:rFonts w:ascii="Times New Roman" w:hAnsi="Times New Roman"/>
          <w:sz w:val="28"/>
          <w:szCs w:val="28"/>
          <w:lang w:eastAsia="ru-RU"/>
        </w:rPr>
        <w:t xml:space="preserve">м Міністерства культури України, Міністерства фінансів України та Міністерства економічного розвитку від 1.12.2015 року </w:t>
      </w:r>
      <w:r w:rsidR="008B3165">
        <w:rPr>
          <w:rFonts w:ascii="Times New Roman" w:hAnsi="Times New Roman"/>
          <w:sz w:val="28"/>
          <w:szCs w:val="28"/>
          <w:lang w:eastAsia="ru-RU"/>
        </w:rPr>
        <w:t xml:space="preserve">№1004/1113/1556, </w:t>
      </w:r>
      <w:r w:rsidRPr="008B3165">
        <w:rPr>
          <w:rFonts w:ascii="Times New Roman" w:hAnsi="Times New Roman"/>
          <w:sz w:val="28"/>
          <w:szCs w:val="28"/>
          <w:lang w:eastAsia="ru-RU"/>
        </w:rPr>
        <w:t>та</w:t>
      </w:r>
      <w:r w:rsidR="008B3165" w:rsidRPr="008B3165">
        <w:rPr>
          <w:rFonts w:ascii="Times New Roman" w:hAnsi="Times New Roman"/>
          <w:sz w:val="28"/>
          <w:szCs w:val="28"/>
          <w:lang w:eastAsia="ru-RU"/>
        </w:rPr>
        <w:t xml:space="preserve"> Статуту </w:t>
      </w:r>
      <w:proofErr w:type="spellStart"/>
      <w:r w:rsidR="008B3165" w:rsidRPr="008B3165">
        <w:rPr>
          <w:rFonts w:ascii="Times New Roman" w:hAnsi="Times New Roman"/>
          <w:sz w:val="28"/>
          <w:szCs w:val="28"/>
          <w:lang w:eastAsia="ru-RU"/>
        </w:rPr>
        <w:t>Чортківської</w:t>
      </w:r>
      <w:proofErr w:type="spellEnd"/>
      <w:r w:rsidR="008B3165" w:rsidRPr="008B3165">
        <w:rPr>
          <w:rFonts w:ascii="Times New Roman" w:hAnsi="Times New Roman"/>
          <w:sz w:val="28"/>
          <w:szCs w:val="28"/>
          <w:lang w:eastAsia="ru-RU"/>
        </w:rPr>
        <w:t xml:space="preserve"> музичної школи, затвердженим рішенням міської ради від 11 грудня 2018 року № 1283.</w:t>
      </w:r>
    </w:p>
    <w:p w:rsidR="008F00B0" w:rsidRDefault="00CD2185" w:rsidP="008F00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 xml:space="preserve">1.2. При  наданні  платних  освітніх  послуг  </w:t>
      </w:r>
      <w:r w:rsidR="001C1B8F" w:rsidRPr="00DD3E54">
        <w:rPr>
          <w:rFonts w:ascii="Times New Roman" w:hAnsi="Times New Roman"/>
          <w:sz w:val="28"/>
          <w:szCs w:val="28"/>
          <w:lang w:eastAsia="ru-RU"/>
        </w:rPr>
        <w:t xml:space="preserve">Чортківською міською музичною школою </w:t>
      </w:r>
      <w:r w:rsidRPr="00DD3E54">
        <w:rPr>
          <w:rFonts w:ascii="Times New Roman" w:hAnsi="Times New Roman"/>
          <w:sz w:val="28"/>
          <w:szCs w:val="28"/>
          <w:lang w:eastAsia="ru-RU"/>
        </w:rPr>
        <w:t xml:space="preserve"> застосовуються нормативно-правові  акти,  що  регулюють  надання  послуг  у сфері освітньої-культурної  діяльності. </w:t>
      </w:r>
    </w:p>
    <w:p w:rsidR="00CD2185" w:rsidRPr="008F00B0" w:rsidRDefault="00CD2185" w:rsidP="008F00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1.3. У  цьому  Порядку  наведені  нижче  терміни вживаються у такому значенні:</w:t>
      </w:r>
    </w:p>
    <w:p w:rsidR="00CD2185" w:rsidRPr="00DD3E54" w:rsidRDefault="00CD2185" w:rsidP="008F0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замовник -   фізична  чи  юридична  особа,  яка  на  підставі договору  (контракту,  заяви)  з  навчальним   закладом   замовляє навчальному  закладу  платну   послугу  для себе або іншої особи, беручи на себе фінансові зобов'язання щодо її оплати;</w:t>
      </w:r>
    </w:p>
    <w:p w:rsidR="00CD2185" w:rsidRPr="00DD3E54" w:rsidRDefault="00CD2185" w:rsidP="008F0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навчальні заклади - дошкільні,  позашкільні, загальноосвітні, інші установи та заклади системи  освіти.  До навчальних  закладів  у  цьому  Порядку  віднесено також навчальні заклади - структурні  підрозділи  навчальних  закладів (відділення, відділи, студії, центри), що  діють згідно  із  затвердженими  положеннями і  безпосередньо  надають платні освітні послуги;</w:t>
      </w:r>
    </w:p>
    <w:p w:rsidR="008F00B0" w:rsidRDefault="00CD2185" w:rsidP="008F0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 xml:space="preserve">особи, які навчаються,  - діти дошкільного  віку,  вихованці, учні  дошкільних  навчальних закладів;  вихованці,  учні,  слухачі позашкільних навчальних закладів; учні, вихованці загальноосвітніх навчальних закладів; учні, слухачі професійно-технічних навчальних закладів;  студенти,  слухачі вищих  навчальних  закладів;  інші  громадяни,  яким   Теребовлянською мистецькою школою надаються платні освітні послуги; </w:t>
      </w:r>
    </w:p>
    <w:p w:rsidR="00DD3E54" w:rsidRDefault="00CD2185" w:rsidP="008F0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послуга - термін вживається у значенні,  визначеному  Законом України "Про захист прав споживачів".</w:t>
      </w:r>
    </w:p>
    <w:p w:rsidR="00DD3E54" w:rsidRDefault="001C1B8F" w:rsidP="00DD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 xml:space="preserve">1.4. Чортківська міська музична </w:t>
      </w:r>
      <w:r w:rsidR="00CD2185" w:rsidRPr="00DD3E54">
        <w:rPr>
          <w:rFonts w:ascii="Times New Roman" w:hAnsi="Times New Roman"/>
          <w:sz w:val="28"/>
          <w:szCs w:val="28"/>
          <w:lang w:eastAsia="ru-RU"/>
        </w:rPr>
        <w:t>школа зобов'язана:</w:t>
      </w:r>
    </w:p>
    <w:p w:rsidR="00DD3E54" w:rsidRDefault="00CD2185" w:rsidP="00DD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lastRenderedPageBreak/>
        <w:t>безкоштовно надати замовнику повну,  доступну  та  достовірну інформацію   щодо  порядку  та  умов  надання  конкретної  платної  послуги, її вартості, порядку та строку оплати,  -  не пізніше ніж за один місяць до дати прийому заяв від осіб, що бажають її отримати; вартість інших  платних  освітніх  послуг - не пізніше ніж за 15 календар</w:t>
      </w:r>
      <w:r w:rsidR="00DD3E54">
        <w:rPr>
          <w:rFonts w:ascii="Times New Roman" w:hAnsi="Times New Roman"/>
          <w:sz w:val="28"/>
          <w:szCs w:val="28"/>
          <w:lang w:eastAsia="ru-RU"/>
        </w:rPr>
        <w:t>них днів до початку їх надання.</w:t>
      </w:r>
    </w:p>
    <w:p w:rsidR="00DD3E54" w:rsidRDefault="00CD2185" w:rsidP="00DD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 xml:space="preserve">1.5. Деякі платні  послуги  можуть  надаватись  тими  самими працівниками </w:t>
      </w:r>
      <w:r w:rsidR="001C1B8F" w:rsidRPr="00DD3E54">
        <w:rPr>
          <w:rFonts w:ascii="Times New Roman" w:hAnsi="Times New Roman"/>
          <w:sz w:val="28"/>
          <w:szCs w:val="28"/>
          <w:lang w:eastAsia="ru-RU"/>
        </w:rPr>
        <w:t>Чортківської міської музичної школи</w:t>
      </w:r>
      <w:r w:rsidRPr="00DD3E54">
        <w:rPr>
          <w:rFonts w:ascii="Times New Roman" w:hAnsi="Times New Roman"/>
          <w:sz w:val="28"/>
          <w:szCs w:val="28"/>
          <w:lang w:eastAsia="ru-RU"/>
        </w:rPr>
        <w:t xml:space="preserve">,  що  працюють згідно штатного розкладу, а також сторонніми особами які не  перебувають у штаті </w:t>
      </w:r>
      <w:proofErr w:type="spellStart"/>
      <w:r w:rsidR="00DD3E54" w:rsidRPr="00DD3E54">
        <w:rPr>
          <w:rFonts w:ascii="Times New Roman" w:hAnsi="Times New Roman"/>
          <w:sz w:val="28"/>
          <w:szCs w:val="28"/>
          <w:lang w:eastAsia="ru-RU"/>
        </w:rPr>
        <w:t>Чортківської</w:t>
      </w:r>
      <w:proofErr w:type="spellEnd"/>
      <w:r w:rsidRPr="00DD3E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E54" w:rsidRPr="00DD3E54">
        <w:rPr>
          <w:rFonts w:ascii="Times New Roman" w:hAnsi="Times New Roman"/>
          <w:sz w:val="28"/>
          <w:szCs w:val="28"/>
          <w:lang w:eastAsia="ru-RU"/>
        </w:rPr>
        <w:t>міської музичної школи</w:t>
      </w:r>
      <w:r w:rsidR="00DD3E54">
        <w:rPr>
          <w:rFonts w:ascii="Times New Roman" w:hAnsi="Times New Roman"/>
          <w:sz w:val="28"/>
          <w:szCs w:val="28"/>
          <w:lang w:eastAsia="ru-RU"/>
        </w:rPr>
        <w:t>,</w:t>
      </w:r>
      <w:r w:rsidR="00DD3E54" w:rsidRPr="00DD3E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3E54">
        <w:rPr>
          <w:rFonts w:ascii="Times New Roman" w:hAnsi="Times New Roman"/>
          <w:sz w:val="28"/>
          <w:szCs w:val="28"/>
          <w:lang w:eastAsia="ru-RU"/>
        </w:rPr>
        <w:t>але залучені до надання платних послуг</w:t>
      </w:r>
      <w:r w:rsidR="001C1B8F" w:rsidRPr="00DD3E54">
        <w:rPr>
          <w:rFonts w:ascii="Times New Roman" w:hAnsi="Times New Roman"/>
          <w:sz w:val="28"/>
          <w:szCs w:val="28"/>
          <w:lang w:eastAsia="ru-RU"/>
        </w:rPr>
        <w:t xml:space="preserve"> на підставі угоди цивільно-правового характеру</w:t>
      </w:r>
      <w:r w:rsidRPr="00DD3E5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D3E54" w:rsidRDefault="00CD2185" w:rsidP="00DD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1.6. Платні освітні послуги надаються на  підставі  письмової заяви  -  для фізичної особи;  договору  - для фізичної або юридичної особи.</w:t>
      </w:r>
    </w:p>
    <w:p w:rsidR="00DD3E54" w:rsidRDefault="00CD2185" w:rsidP="00DD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 xml:space="preserve">1.7. Кошти,  отримані навчальним закладом від надання платних послуг,  зараховуються на відповідні рахунки,  відкриті в органах  Державного  казначейства  України,  та   використовуються згідно   із   затвердженим   кошторисом   директором </w:t>
      </w:r>
      <w:r w:rsidR="001C1B8F" w:rsidRPr="00DD3E54">
        <w:rPr>
          <w:rFonts w:ascii="Times New Roman" w:hAnsi="Times New Roman"/>
          <w:sz w:val="28"/>
          <w:szCs w:val="28"/>
          <w:lang w:eastAsia="ru-RU"/>
        </w:rPr>
        <w:t>Чортківської міської музичної</w:t>
      </w:r>
      <w:r w:rsidRPr="00DD3E54">
        <w:rPr>
          <w:rFonts w:ascii="Times New Roman" w:hAnsi="Times New Roman"/>
          <w:sz w:val="28"/>
          <w:szCs w:val="28"/>
          <w:lang w:eastAsia="ru-RU"/>
        </w:rPr>
        <w:t xml:space="preserve"> школи з урахуванням вимог законодавства.</w:t>
      </w:r>
    </w:p>
    <w:p w:rsidR="00DD3E54" w:rsidRDefault="00CD2185" w:rsidP="00DD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 xml:space="preserve">1.8. Матеріальні   цінності,   майно    закладу, придбане  або  створене  за рахунок коштів,  отриманих від платних освітніх  послуг,  належить   </w:t>
      </w:r>
      <w:r w:rsidR="001C1B8F" w:rsidRPr="00DD3E54">
        <w:rPr>
          <w:rFonts w:ascii="Times New Roman" w:hAnsi="Times New Roman"/>
          <w:sz w:val="28"/>
          <w:szCs w:val="28"/>
          <w:lang w:eastAsia="ru-RU"/>
        </w:rPr>
        <w:t xml:space="preserve">Чортківській міській музичній школі </w:t>
      </w:r>
      <w:r w:rsidRPr="00DD3E54">
        <w:rPr>
          <w:rFonts w:ascii="Times New Roman" w:hAnsi="Times New Roman"/>
          <w:sz w:val="28"/>
          <w:szCs w:val="28"/>
          <w:lang w:eastAsia="ru-RU"/>
        </w:rPr>
        <w:t xml:space="preserve"> на   правах, визначених  чинним  законодавством,  та  використовується  ним для виконання своїх функціональних повноважень.</w:t>
      </w:r>
    </w:p>
    <w:p w:rsidR="00DD3E54" w:rsidRDefault="00CD2185" w:rsidP="00DD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 xml:space="preserve">1.9. Розмір плати за послуги, що надаються </w:t>
      </w:r>
      <w:r w:rsidR="001C1B8F" w:rsidRPr="00DD3E54">
        <w:rPr>
          <w:rFonts w:ascii="Times New Roman" w:hAnsi="Times New Roman"/>
          <w:sz w:val="28"/>
          <w:szCs w:val="28"/>
          <w:lang w:eastAsia="ru-RU"/>
        </w:rPr>
        <w:t xml:space="preserve">Чортківською міською музичною школою </w:t>
      </w:r>
      <w:r w:rsidRPr="00DD3E54">
        <w:rPr>
          <w:rFonts w:ascii="Times New Roman" w:hAnsi="Times New Roman"/>
          <w:sz w:val="28"/>
          <w:szCs w:val="28"/>
          <w:lang w:eastAsia="ru-RU"/>
        </w:rPr>
        <w:t xml:space="preserve"> встановлюється виконавчим комітетом міської ради один раз на рік на початку навчального року.</w:t>
      </w:r>
    </w:p>
    <w:p w:rsidR="00DD3E54" w:rsidRDefault="001C1B8F" w:rsidP="00DD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b/>
          <w:sz w:val="28"/>
          <w:szCs w:val="28"/>
          <w:lang w:eastAsia="ru-RU"/>
        </w:rPr>
        <w:t xml:space="preserve">2. Перелік </w:t>
      </w:r>
      <w:r w:rsidR="00CD2185" w:rsidRPr="00DD3E54">
        <w:rPr>
          <w:rFonts w:ascii="Times New Roman" w:hAnsi="Times New Roman"/>
          <w:b/>
          <w:sz w:val="28"/>
          <w:szCs w:val="28"/>
          <w:lang w:eastAsia="ru-RU"/>
        </w:rPr>
        <w:t xml:space="preserve"> платних послуг:</w:t>
      </w:r>
    </w:p>
    <w:p w:rsidR="00DD3E54" w:rsidRDefault="00CD2185" w:rsidP="00DD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1. Навчання   у  студіях,  на  курсах,  проведення  занять  у лі</w:t>
      </w:r>
      <w:r w:rsidR="001C1B8F" w:rsidRPr="00DD3E54">
        <w:rPr>
          <w:rFonts w:ascii="Times New Roman" w:hAnsi="Times New Roman"/>
          <w:sz w:val="28"/>
          <w:szCs w:val="28"/>
          <w:lang w:eastAsia="ru-RU"/>
        </w:rPr>
        <w:t>тературно-музичних вітальнях.</w:t>
      </w:r>
    </w:p>
    <w:p w:rsidR="00DD3E54" w:rsidRDefault="001C1B8F" w:rsidP="00DD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CD2185" w:rsidRPr="00DD3E54">
        <w:rPr>
          <w:rFonts w:ascii="Times New Roman" w:hAnsi="Times New Roman"/>
          <w:sz w:val="28"/>
          <w:szCs w:val="28"/>
          <w:lang w:eastAsia="ru-RU"/>
        </w:rPr>
        <w:t xml:space="preserve">Організація  діяльності  любительських об'єднань та клубів за   інтересами  з можливим запрошенням  сторонніх осіб та організацій.  </w:t>
      </w:r>
    </w:p>
    <w:p w:rsidR="00CD2185" w:rsidRPr="00DD3E54" w:rsidRDefault="001C1B8F" w:rsidP="00DD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3.</w:t>
      </w:r>
      <w:r w:rsidR="00CD2185" w:rsidRPr="00DD3E54">
        <w:rPr>
          <w:rFonts w:ascii="Times New Roman" w:hAnsi="Times New Roman"/>
          <w:sz w:val="28"/>
          <w:szCs w:val="28"/>
          <w:lang w:eastAsia="ru-RU"/>
        </w:rPr>
        <w:t xml:space="preserve"> Розроблення  сценаріїв,  постановочна  робота і проведення заходів за заявками підприємств, установ та організацій. </w:t>
      </w:r>
    </w:p>
    <w:p w:rsidR="00CD2185" w:rsidRPr="00DD3E54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 xml:space="preserve"> 4.</w:t>
      </w:r>
      <w:r w:rsidR="00CD2185" w:rsidRPr="00DD3E54">
        <w:rPr>
          <w:rFonts w:ascii="Times New Roman" w:hAnsi="Times New Roman"/>
          <w:sz w:val="28"/>
          <w:szCs w:val="28"/>
          <w:lang w:eastAsia="ru-RU"/>
        </w:rPr>
        <w:t xml:space="preserve"> Проведення    спектаклів     і     концертів     художньої самодіяльності. </w:t>
      </w:r>
    </w:p>
    <w:p w:rsidR="00DD3E54" w:rsidRDefault="00D442E3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 xml:space="preserve"> 5. </w:t>
      </w:r>
      <w:r w:rsidR="00CD2185" w:rsidRPr="00DD3E54">
        <w:rPr>
          <w:rFonts w:ascii="Times New Roman" w:hAnsi="Times New Roman"/>
          <w:sz w:val="28"/>
          <w:szCs w:val="28"/>
          <w:lang w:eastAsia="ru-RU"/>
        </w:rPr>
        <w:t xml:space="preserve">Проведення  театралізованих свят,  фестивалів,  конкурсів, спортивно-розважальних,  оздоровчих,  обрядових заходів,  виставок-продаж книг і творів образотворчого мистецтва, та товарів народного вживання. </w:t>
      </w:r>
    </w:p>
    <w:p w:rsidR="00DD3E54" w:rsidRDefault="00D442E3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CD2185" w:rsidRPr="00DD3E54">
        <w:rPr>
          <w:rFonts w:ascii="Times New Roman" w:hAnsi="Times New Roman"/>
          <w:sz w:val="28"/>
          <w:szCs w:val="28"/>
          <w:lang w:eastAsia="ru-RU"/>
        </w:rPr>
        <w:t>Надання    послуг    з   організації   та/або   проведення культурно-масових      заходів,      міжнародних      симпозіумів, науково-практичних    конференцій,    семінарів,   майстер-класів, концертів, фестивалів, вистав</w:t>
      </w:r>
      <w:r w:rsidR="00DD3E54">
        <w:rPr>
          <w:rFonts w:ascii="Times New Roman" w:hAnsi="Times New Roman"/>
          <w:sz w:val="28"/>
          <w:szCs w:val="28"/>
          <w:lang w:eastAsia="ru-RU"/>
        </w:rPr>
        <w:t>ок і вистав.</w:t>
      </w:r>
    </w:p>
    <w:p w:rsidR="00DD3E54" w:rsidRDefault="00D442E3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CD2185" w:rsidRPr="00DD3E54">
        <w:rPr>
          <w:rFonts w:ascii="Times New Roman" w:hAnsi="Times New Roman"/>
          <w:sz w:val="28"/>
          <w:szCs w:val="28"/>
          <w:lang w:eastAsia="ru-RU"/>
        </w:rPr>
        <w:t xml:space="preserve"> Надання    послуг    з   організації   та/або   проведення  вистав,  театральних  та  музичних постановок, концертів,  оперних  і  балетних  спектаклів,  інших   постановок, виступи  артистичних  груп,  труп,  оркестрів та окремих артистів. Проведення концертів-презентацій, фестивалів, бенефісів, естрадних шоу, циркових вистав, демонстрація відео - і кінофільмів</w:t>
      </w:r>
    </w:p>
    <w:p w:rsidR="00DD3E54" w:rsidRDefault="00D442E3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8. </w:t>
      </w:r>
      <w:r w:rsidR="00CD2185" w:rsidRPr="00DD3E54">
        <w:rPr>
          <w:rFonts w:ascii="Times New Roman" w:hAnsi="Times New Roman"/>
          <w:sz w:val="28"/>
          <w:szCs w:val="28"/>
          <w:lang w:eastAsia="ru-RU"/>
        </w:rPr>
        <w:t>Н</w:t>
      </w:r>
      <w:r w:rsidR="001C1B8F" w:rsidRPr="00DD3E54">
        <w:rPr>
          <w:rFonts w:ascii="Times New Roman" w:hAnsi="Times New Roman"/>
          <w:sz w:val="28"/>
          <w:szCs w:val="28"/>
          <w:lang w:eastAsia="ru-RU"/>
        </w:rPr>
        <w:t>адання  послуг  з оренди глядацької зали, навчальних класів в позаурочний визначений час.</w:t>
      </w:r>
    </w:p>
    <w:p w:rsidR="00DD3E54" w:rsidRDefault="00D442E3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9.</w:t>
      </w:r>
      <w:r w:rsidR="00CD2185" w:rsidRPr="00DD3E54">
        <w:rPr>
          <w:rFonts w:ascii="Times New Roman" w:hAnsi="Times New Roman"/>
          <w:sz w:val="28"/>
          <w:szCs w:val="28"/>
          <w:lang w:eastAsia="ru-RU"/>
        </w:rPr>
        <w:t xml:space="preserve"> Продаж у неспеціалізованих  магазинах  (кіосках,  лотках) видань   про    діяльність  закладу, а також сувенірних виробів, значків, виробів народних промислів, декоративно-ужиткового мистецтва. </w:t>
      </w:r>
    </w:p>
    <w:p w:rsidR="00DD3E54" w:rsidRDefault="00D442E3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CD2185" w:rsidRPr="00DD3E54">
        <w:rPr>
          <w:rFonts w:ascii="Times New Roman" w:hAnsi="Times New Roman"/>
          <w:sz w:val="28"/>
          <w:szCs w:val="28"/>
          <w:lang w:eastAsia="ru-RU"/>
        </w:rPr>
        <w:t xml:space="preserve">Розроблення  та  оформлення  інтер'єрів,   дизайнерського оздоблення виставкових стендів. </w:t>
      </w:r>
    </w:p>
    <w:p w:rsidR="00DD3E54" w:rsidRDefault="00D442E3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11.</w:t>
      </w:r>
      <w:r w:rsidR="00CD2185" w:rsidRPr="00DD3E54">
        <w:rPr>
          <w:rFonts w:ascii="Times New Roman" w:hAnsi="Times New Roman"/>
          <w:sz w:val="28"/>
          <w:szCs w:val="28"/>
          <w:lang w:eastAsia="ru-RU"/>
        </w:rPr>
        <w:t xml:space="preserve"> Ремонт,     настроювання    і    налагодження    музичних інструментів, звуко-, світло- та відеоапаратури. </w:t>
      </w:r>
    </w:p>
    <w:p w:rsidR="00DD3E54" w:rsidRDefault="00D442E3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12.</w:t>
      </w:r>
      <w:r w:rsidR="00CD2185" w:rsidRPr="00DD3E54">
        <w:rPr>
          <w:rFonts w:ascii="Times New Roman" w:hAnsi="Times New Roman"/>
          <w:sz w:val="28"/>
          <w:szCs w:val="28"/>
          <w:lang w:eastAsia="ru-RU"/>
        </w:rPr>
        <w:t xml:space="preserve">Прокат  музичних  інструментів,  сценічних костюмів,  взуття, театрального реквізиту. </w:t>
      </w:r>
    </w:p>
    <w:p w:rsidR="00DD3E54" w:rsidRDefault="00D442E3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="00CD2185" w:rsidRPr="00DD3E54">
        <w:rPr>
          <w:rFonts w:ascii="Times New Roman" w:hAnsi="Times New Roman"/>
          <w:sz w:val="28"/>
          <w:szCs w:val="28"/>
          <w:lang w:eastAsia="ru-RU"/>
        </w:rPr>
        <w:t xml:space="preserve">Фотокопіювання,     репродукування,      ксерокопіювання, мікрофільмування,   </w:t>
      </w:r>
      <w:proofErr w:type="spellStart"/>
      <w:r w:rsidR="00CD2185" w:rsidRPr="00DD3E54">
        <w:rPr>
          <w:rFonts w:ascii="Times New Roman" w:hAnsi="Times New Roman"/>
          <w:sz w:val="28"/>
          <w:szCs w:val="28"/>
          <w:lang w:eastAsia="ru-RU"/>
        </w:rPr>
        <w:t>мікрокопіювання</w:t>
      </w:r>
      <w:proofErr w:type="spellEnd"/>
      <w:r w:rsidR="00CD2185" w:rsidRPr="00DD3E54">
        <w:rPr>
          <w:rFonts w:ascii="Times New Roman" w:hAnsi="Times New Roman"/>
          <w:sz w:val="28"/>
          <w:szCs w:val="28"/>
          <w:lang w:eastAsia="ru-RU"/>
        </w:rPr>
        <w:t xml:space="preserve">   з   книжок,  брошур,  газет, журналів,  музейних експонатів,  документів  з  фондів  бібліотек, музеїв. </w:t>
      </w:r>
    </w:p>
    <w:p w:rsidR="00DD3E54" w:rsidRDefault="00D442E3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="00CD2185" w:rsidRPr="00DD3E54">
        <w:rPr>
          <w:rFonts w:ascii="Times New Roman" w:hAnsi="Times New Roman"/>
          <w:sz w:val="28"/>
          <w:szCs w:val="28"/>
          <w:lang w:eastAsia="ru-RU"/>
        </w:rPr>
        <w:t xml:space="preserve">Виготовлення   фонограм  концертів  і  спектаклів,  копій звукозапису музичних творів з фонотек театрів,  музеїв, бібліотек, клубних     закладів,     парків     культури    та    відпочинку, науково-методичних  центрів,  надання  послуг  студій   </w:t>
      </w:r>
      <w:proofErr w:type="spellStart"/>
      <w:r w:rsidR="00CD2185" w:rsidRPr="00DD3E54">
        <w:rPr>
          <w:rFonts w:ascii="Times New Roman" w:hAnsi="Times New Roman"/>
          <w:sz w:val="28"/>
          <w:szCs w:val="28"/>
          <w:lang w:eastAsia="ru-RU"/>
        </w:rPr>
        <w:t>звуко-</w:t>
      </w:r>
      <w:proofErr w:type="spellEnd"/>
      <w:r w:rsidR="00CD2185" w:rsidRPr="00DD3E54">
        <w:rPr>
          <w:rFonts w:ascii="Times New Roman" w:hAnsi="Times New Roman"/>
          <w:sz w:val="28"/>
          <w:szCs w:val="28"/>
          <w:lang w:eastAsia="ru-RU"/>
        </w:rPr>
        <w:t xml:space="preserve">   і відеозапису.</w:t>
      </w:r>
    </w:p>
    <w:p w:rsidR="00DD3E54" w:rsidRDefault="00D442E3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CD2185" w:rsidRPr="00DD3E54">
        <w:rPr>
          <w:rFonts w:ascii="Times New Roman" w:hAnsi="Times New Roman"/>
          <w:b/>
          <w:sz w:val="28"/>
          <w:szCs w:val="28"/>
          <w:lang w:eastAsia="ru-RU"/>
        </w:rPr>
        <w:t>Порядок визначення вартості платних послуг</w:t>
      </w:r>
    </w:p>
    <w:p w:rsidR="00DD3E54" w:rsidRDefault="00CD2185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3.1.</w:t>
      </w:r>
      <w:r w:rsidRPr="00DD3E54">
        <w:rPr>
          <w:rFonts w:ascii="Times New Roman" w:hAnsi="Times New Roman"/>
          <w:sz w:val="28"/>
          <w:szCs w:val="28"/>
          <w:lang w:eastAsia="ru-RU"/>
        </w:rPr>
        <w:tab/>
        <w:t>Розмір плати за той чи інший вид послуги визначається на підставі її ціни. Базою для визначення ціни послуги є розрахунок витрат, пов’язаних з наданням послуги.</w:t>
      </w:r>
    </w:p>
    <w:p w:rsidR="00DD3E54" w:rsidRDefault="00CD2185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3.2.</w:t>
      </w:r>
      <w:r w:rsidRPr="00DD3E54">
        <w:rPr>
          <w:rFonts w:ascii="Times New Roman" w:hAnsi="Times New Roman"/>
          <w:sz w:val="28"/>
          <w:szCs w:val="28"/>
          <w:lang w:eastAsia="ru-RU"/>
        </w:rPr>
        <w:tab/>
        <w:t>При наданні послуг використовуються ціни і тарифи встановлені та затверджені виконавчим комітетом міської ради.</w:t>
      </w:r>
    </w:p>
    <w:p w:rsidR="00DD3E54" w:rsidRDefault="00D442E3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CD2185" w:rsidRPr="00DD3E54">
        <w:rPr>
          <w:rFonts w:ascii="Times New Roman" w:hAnsi="Times New Roman"/>
          <w:b/>
          <w:sz w:val="28"/>
          <w:szCs w:val="28"/>
          <w:lang w:eastAsia="ru-RU"/>
        </w:rPr>
        <w:t>Планування та використання доходів від надання платних послуг.</w:t>
      </w:r>
    </w:p>
    <w:p w:rsidR="00DD3E54" w:rsidRDefault="00CD2185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4.1</w:t>
      </w:r>
      <w:r w:rsidR="00D442E3" w:rsidRPr="00DD3E5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D3E54">
        <w:rPr>
          <w:rFonts w:ascii="Times New Roman" w:hAnsi="Times New Roman"/>
          <w:sz w:val="28"/>
          <w:szCs w:val="28"/>
          <w:lang w:eastAsia="ru-RU"/>
        </w:rPr>
        <w:t xml:space="preserve">Надходження </w:t>
      </w:r>
      <w:r w:rsidRPr="00DD3E54">
        <w:rPr>
          <w:rFonts w:ascii="Times New Roman" w:hAnsi="Times New Roman"/>
          <w:sz w:val="28"/>
          <w:szCs w:val="28"/>
          <w:lang w:eastAsia="ru-RU"/>
        </w:rPr>
        <w:tab/>
        <w:t xml:space="preserve">до спеціального фонду, отримані від надання платних послуг першочергово використовуються на покриття витрат, пов’язаних з організацією та наданням цих послуг згідно з кошторисом, затвердженим директором </w:t>
      </w:r>
      <w:r w:rsidR="001C1B8F" w:rsidRPr="00DD3E54">
        <w:rPr>
          <w:rFonts w:ascii="Times New Roman" w:hAnsi="Times New Roman"/>
          <w:sz w:val="28"/>
          <w:szCs w:val="28"/>
          <w:lang w:eastAsia="ru-RU"/>
        </w:rPr>
        <w:t>Чортківської міської музичної школи</w:t>
      </w:r>
      <w:r w:rsidRPr="00DD3E54">
        <w:rPr>
          <w:rFonts w:ascii="Times New Roman" w:hAnsi="Times New Roman"/>
          <w:sz w:val="28"/>
          <w:szCs w:val="28"/>
          <w:lang w:eastAsia="ru-RU"/>
        </w:rPr>
        <w:t xml:space="preserve"> в установленому законодавством порядку, а саме:</w:t>
      </w:r>
    </w:p>
    <w:p w:rsidR="00DD3E54" w:rsidRDefault="00CD2185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-</w:t>
      </w:r>
      <w:r w:rsidRPr="00DD3E54">
        <w:rPr>
          <w:rFonts w:ascii="Times New Roman" w:hAnsi="Times New Roman"/>
          <w:sz w:val="28"/>
          <w:szCs w:val="28"/>
          <w:lang w:eastAsia="ru-RU"/>
        </w:rPr>
        <w:tab/>
        <w:t>на оплату праці залучених до виконання платних послуг працівників у ро</w:t>
      </w:r>
      <w:r w:rsidR="00DD3E54">
        <w:rPr>
          <w:rFonts w:ascii="Times New Roman" w:hAnsi="Times New Roman"/>
          <w:sz w:val="28"/>
          <w:szCs w:val="28"/>
          <w:lang w:eastAsia="ru-RU"/>
        </w:rPr>
        <w:t>змірі 50% від вартості послуги;</w:t>
      </w:r>
    </w:p>
    <w:p w:rsidR="00DD3E54" w:rsidRDefault="00CD2185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-</w:t>
      </w:r>
      <w:r w:rsidRPr="00DD3E54">
        <w:rPr>
          <w:rFonts w:ascii="Times New Roman" w:hAnsi="Times New Roman"/>
          <w:sz w:val="28"/>
          <w:szCs w:val="28"/>
          <w:lang w:eastAsia="ru-RU"/>
        </w:rPr>
        <w:tab/>
        <w:t xml:space="preserve">на розвиток матеріальної бази </w:t>
      </w:r>
      <w:proofErr w:type="spellStart"/>
      <w:r w:rsidR="001C1B8F" w:rsidRPr="00DD3E54">
        <w:rPr>
          <w:rFonts w:ascii="Times New Roman" w:hAnsi="Times New Roman"/>
          <w:sz w:val="28"/>
          <w:szCs w:val="28"/>
          <w:lang w:eastAsia="ru-RU"/>
        </w:rPr>
        <w:t>Чортківської</w:t>
      </w:r>
      <w:proofErr w:type="spellEnd"/>
      <w:r w:rsidR="001C1B8F" w:rsidRPr="00DD3E54">
        <w:rPr>
          <w:rFonts w:ascii="Times New Roman" w:hAnsi="Times New Roman"/>
          <w:sz w:val="28"/>
          <w:szCs w:val="28"/>
          <w:lang w:eastAsia="ru-RU"/>
        </w:rPr>
        <w:t xml:space="preserve"> міської музичної школи</w:t>
      </w:r>
      <w:r w:rsidRPr="00DD3E54">
        <w:rPr>
          <w:rFonts w:ascii="Times New Roman" w:hAnsi="Times New Roman"/>
          <w:sz w:val="28"/>
          <w:szCs w:val="28"/>
          <w:lang w:eastAsia="ru-RU"/>
        </w:rPr>
        <w:t>;</w:t>
      </w:r>
    </w:p>
    <w:p w:rsidR="00DD3E54" w:rsidRDefault="00CD2185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-</w:t>
      </w:r>
      <w:r w:rsidRPr="00DD3E54">
        <w:rPr>
          <w:rFonts w:ascii="Times New Roman" w:hAnsi="Times New Roman"/>
          <w:sz w:val="28"/>
          <w:szCs w:val="28"/>
          <w:lang w:eastAsia="ru-RU"/>
        </w:rPr>
        <w:tab/>
        <w:t>на преміювання як працівників, безпосередньо зайнятих їх виконанням, так і тих, хто сприяє їх здійсненню, згідно з положенням, затвердженим керівником</w:t>
      </w:r>
      <w:r w:rsidR="00DD3E54">
        <w:rPr>
          <w:rFonts w:ascii="Times New Roman" w:hAnsi="Times New Roman"/>
          <w:sz w:val="28"/>
          <w:szCs w:val="28"/>
          <w:lang w:eastAsia="ru-RU"/>
        </w:rPr>
        <w:t>;</w:t>
      </w:r>
      <w:r w:rsidRPr="00DD3E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3E54" w:rsidRDefault="00CD2185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4.2.</w:t>
      </w:r>
      <w:r w:rsidRPr="00DD3E54">
        <w:rPr>
          <w:rFonts w:ascii="Times New Roman" w:hAnsi="Times New Roman"/>
          <w:sz w:val="28"/>
          <w:szCs w:val="28"/>
          <w:lang w:eastAsia="ru-RU"/>
        </w:rPr>
        <w:tab/>
      </w:r>
      <w:r w:rsidR="001C1B8F" w:rsidRPr="00DD3E54">
        <w:rPr>
          <w:rFonts w:ascii="Times New Roman" w:hAnsi="Times New Roman"/>
          <w:sz w:val="28"/>
          <w:szCs w:val="28"/>
          <w:lang w:eastAsia="ru-RU"/>
        </w:rPr>
        <w:t xml:space="preserve">Чортківська міська музична школа </w:t>
      </w:r>
      <w:r w:rsidRPr="00DD3E54">
        <w:rPr>
          <w:rFonts w:ascii="Times New Roman" w:hAnsi="Times New Roman"/>
          <w:sz w:val="28"/>
          <w:szCs w:val="28"/>
          <w:lang w:eastAsia="ru-RU"/>
        </w:rPr>
        <w:t>зобов’язана вести облік платних послуг та складати звітність за цим видом діяльності.</w:t>
      </w:r>
    </w:p>
    <w:p w:rsidR="00DD3E54" w:rsidRDefault="00D442E3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D2185" w:rsidRPr="00DD3E54">
        <w:rPr>
          <w:rFonts w:ascii="Times New Roman" w:hAnsi="Times New Roman"/>
          <w:b/>
          <w:sz w:val="28"/>
          <w:szCs w:val="28"/>
          <w:lang w:eastAsia="ru-RU"/>
        </w:rPr>
        <w:t>. Заключні положення</w:t>
      </w:r>
      <w:r w:rsidRPr="00DD3E54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D2185" w:rsidRPr="00DD3E54" w:rsidRDefault="00D442E3" w:rsidP="00DD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54">
        <w:rPr>
          <w:rFonts w:ascii="Times New Roman" w:hAnsi="Times New Roman"/>
          <w:sz w:val="28"/>
          <w:szCs w:val="28"/>
          <w:lang w:eastAsia="ru-RU"/>
        </w:rPr>
        <w:t>5</w:t>
      </w:r>
      <w:r w:rsidR="00CD2185" w:rsidRPr="00DD3E54">
        <w:rPr>
          <w:rFonts w:ascii="Times New Roman" w:hAnsi="Times New Roman"/>
          <w:sz w:val="28"/>
          <w:szCs w:val="28"/>
          <w:lang w:eastAsia="ru-RU"/>
        </w:rPr>
        <w:t>.1 Відповідальність за організацію і якість надання платних послуг, а також обґрунтованість розмірів плати за послуги несе керівник закладу та працівники, які беруть безпосередню участь у процесі надання платних послуг.</w:t>
      </w:r>
    </w:p>
    <w:p w:rsidR="00CD2185" w:rsidRPr="00DD3E54" w:rsidRDefault="00CD2185" w:rsidP="00CD2185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D3E54" w:rsidRDefault="000C4205" w:rsidP="00DD3E54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CD2185" w:rsidRPr="00CD2185" w:rsidRDefault="000C4205" w:rsidP="00DD3E54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виконавчого комітету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Ольга ЧЕРЕДНІКОВА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DD3E54" w:rsidTr="00A0410F">
        <w:tc>
          <w:tcPr>
            <w:tcW w:w="5637" w:type="dxa"/>
          </w:tcPr>
          <w:p w:rsidR="00DD3E54" w:rsidRDefault="00DD3E54" w:rsidP="00A0410F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D3E54" w:rsidRDefault="00DD3E54" w:rsidP="00DD3E54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  <w:r w:rsidRPr="005D5E86">
              <w:rPr>
                <w:rFonts w:ascii="Times New Roman" w:hAnsi="Times New Roman" w:cs="Arial"/>
                <w:sz w:val="28"/>
                <w:szCs w:val="20"/>
                <w:lang w:eastAsia="ru-RU"/>
              </w:rPr>
              <w:t>Додато</w:t>
            </w:r>
            <w:r>
              <w:rPr>
                <w:rFonts w:ascii="Times New Roman" w:hAnsi="Times New Roman" w:cs="Arial"/>
                <w:sz w:val="28"/>
                <w:szCs w:val="20"/>
                <w:lang w:eastAsia="ru-RU"/>
              </w:rPr>
              <w:t>к 4</w:t>
            </w:r>
          </w:p>
        </w:tc>
      </w:tr>
      <w:tr w:rsidR="00DD3E54" w:rsidTr="00A0410F">
        <w:tc>
          <w:tcPr>
            <w:tcW w:w="5637" w:type="dxa"/>
          </w:tcPr>
          <w:p w:rsidR="00DD3E54" w:rsidRDefault="00DD3E54" w:rsidP="00A0410F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D3E54" w:rsidRDefault="00DD3E54" w:rsidP="00A0410F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  <w:r w:rsidRPr="00D657CE">
              <w:rPr>
                <w:rFonts w:ascii="Times New Roman" w:hAnsi="Times New Roman" w:cs="Arial"/>
                <w:sz w:val="28"/>
                <w:szCs w:val="20"/>
                <w:lang w:eastAsia="ru-RU"/>
              </w:rPr>
              <w:t xml:space="preserve">до рішення виконавчого комітету </w:t>
            </w:r>
          </w:p>
          <w:p w:rsidR="00DD3E54" w:rsidRPr="00D657CE" w:rsidRDefault="00DD3E54" w:rsidP="00A0410F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0"/>
                <w:lang w:eastAsia="ru-RU"/>
              </w:rPr>
              <w:t xml:space="preserve">від 03 вересня 2021року </w:t>
            </w:r>
            <w:r w:rsidRPr="00D657CE">
              <w:rPr>
                <w:rFonts w:ascii="Times New Roman" w:hAnsi="Times New Roman" w:cs="Arial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Arial"/>
                <w:sz w:val="28"/>
                <w:szCs w:val="20"/>
                <w:lang w:eastAsia="ru-RU"/>
              </w:rPr>
              <w:t xml:space="preserve"> 412</w:t>
            </w:r>
          </w:p>
          <w:p w:rsidR="00DD3E54" w:rsidRDefault="00DD3E54" w:rsidP="00A0410F">
            <w:pPr>
              <w:spacing w:line="0" w:lineRule="atLeast"/>
              <w:jc w:val="both"/>
              <w:rPr>
                <w:rFonts w:ascii="Times New Roman" w:hAnsi="Times New Roman" w:cs="Arial"/>
                <w:sz w:val="28"/>
                <w:szCs w:val="20"/>
                <w:lang w:eastAsia="ru-RU"/>
              </w:rPr>
            </w:pPr>
          </w:p>
        </w:tc>
      </w:tr>
    </w:tbl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33380" w:rsidRDefault="00A33380" w:rsidP="00A33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Перелік платних послуг та ціни на  них, щоможуть надаватись</w:t>
      </w:r>
    </w:p>
    <w:p w:rsidR="00A33380" w:rsidRDefault="00A33380" w:rsidP="00A33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Чортківською міською музичною школою</w:t>
      </w:r>
    </w:p>
    <w:p w:rsidR="00A33380" w:rsidRPr="00A33380" w:rsidRDefault="00A33380" w:rsidP="00DD3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 2021-2022 навчальному році</w:t>
      </w:r>
    </w:p>
    <w:p w:rsidR="00A33380" w:rsidRPr="00A33380" w:rsidRDefault="00A33380" w:rsidP="00A333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66"/>
        <w:gridCol w:w="6663"/>
        <w:gridCol w:w="2120"/>
      </w:tblGrid>
      <w:tr w:rsidR="00A33380" w:rsidRPr="00A33380" w:rsidTr="00A33380">
        <w:tc>
          <w:tcPr>
            <w:tcW w:w="566" w:type="dxa"/>
          </w:tcPr>
          <w:p w:rsidR="00A33380" w:rsidRPr="00A33380" w:rsidRDefault="00A33380" w:rsidP="00A333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 платної послуги</w:t>
            </w:r>
          </w:p>
        </w:tc>
        <w:tc>
          <w:tcPr>
            <w:tcW w:w="2120" w:type="dxa"/>
          </w:tcPr>
          <w:p w:rsidR="00A33380" w:rsidRPr="00A33380" w:rsidRDefault="00A33380" w:rsidP="00A333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Ціна, грн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 вистав, театральних та музичних постановок, бенефісів, естрадних шоу</w:t>
            </w:r>
          </w:p>
        </w:tc>
        <w:tc>
          <w:tcPr>
            <w:tcW w:w="2120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/ з особи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Оренда концертного залу</w:t>
            </w:r>
          </w:p>
        </w:tc>
        <w:tc>
          <w:tcPr>
            <w:tcW w:w="2120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300/день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Оренда музичних інструментів</w:t>
            </w:r>
          </w:p>
        </w:tc>
        <w:tc>
          <w:tcPr>
            <w:tcW w:w="2120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50-13</w:t>
            </w: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0/місяць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3380"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Концертна послуга (тематична концертна програма </w:t>
            </w:r>
            <w:r w:rsidR="000C4205">
              <w:rPr>
                <w:rFonts w:ascii="Times New Roman" w:hAnsi="Times New Roman"/>
                <w:sz w:val="28"/>
                <w:szCs w:val="28"/>
                <w:lang w:eastAsia="ru-RU"/>
              </w:rPr>
              <w:t>до 45 хв.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0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3380"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Оренда музичного обладнання</w:t>
            </w:r>
          </w:p>
        </w:tc>
        <w:tc>
          <w:tcPr>
            <w:tcW w:w="2120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300/ год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3380"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Індивідуальні заняття з навчання гри на музичних інструментах</w:t>
            </w:r>
            <w:r w:rsidR="000C42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дітей до 18 років</w:t>
            </w:r>
          </w:p>
        </w:tc>
        <w:tc>
          <w:tcPr>
            <w:tcW w:w="2120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300/місяць</w:t>
            </w:r>
          </w:p>
        </w:tc>
      </w:tr>
      <w:tr w:rsidR="000C4205" w:rsidRPr="00A33380" w:rsidTr="00A33380">
        <w:tc>
          <w:tcPr>
            <w:tcW w:w="566" w:type="dxa"/>
          </w:tcPr>
          <w:p w:rsidR="000C4205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3" w:type="dxa"/>
          </w:tcPr>
          <w:p w:rsidR="000C4205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Індивідуальні заняття з навчання гри на музичних інструментах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дорослих</w:t>
            </w:r>
          </w:p>
        </w:tc>
        <w:tc>
          <w:tcPr>
            <w:tcW w:w="2120" w:type="dxa"/>
          </w:tcPr>
          <w:p w:rsidR="000C4205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500/місяць або</w:t>
            </w:r>
          </w:p>
          <w:p w:rsidR="000C4205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1600/ курс</w:t>
            </w:r>
          </w:p>
        </w:tc>
      </w:tr>
    </w:tbl>
    <w:p w:rsidR="00A33380" w:rsidRPr="00A33380" w:rsidRDefault="00A33380" w:rsidP="00A333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614F" w:rsidRPr="00A316DE" w:rsidRDefault="0000614F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00614F" w:rsidRPr="00336CE6" w:rsidRDefault="0000614F" w:rsidP="0000614F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00614F" w:rsidRDefault="0000614F" w:rsidP="0000614F">
      <w:pPr>
        <w:suppressAutoHyphens/>
        <w:spacing w:after="0" w:line="240" w:lineRule="auto"/>
        <w:ind w:left="-142" w:right="142"/>
        <w:jc w:val="both"/>
        <w:rPr>
          <w:sz w:val="28"/>
          <w:szCs w:val="28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виконавчого комітету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Ольга ЧЕРЕДНІКОВА</w:t>
      </w:r>
    </w:p>
    <w:p w:rsidR="0000614F" w:rsidRPr="006F0BE7" w:rsidRDefault="0000614F" w:rsidP="0000614F">
      <w:pPr>
        <w:rPr>
          <w:sz w:val="28"/>
          <w:szCs w:val="28"/>
        </w:rPr>
      </w:pPr>
    </w:p>
    <w:p w:rsidR="00175A73" w:rsidRDefault="00175A73"/>
    <w:sectPr w:rsidR="00175A73" w:rsidSect="00455B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DEB"/>
    <w:multiLevelType w:val="hybridMultilevel"/>
    <w:tmpl w:val="1FEAC028"/>
    <w:lvl w:ilvl="0" w:tplc="E85803A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36E60F2"/>
    <w:multiLevelType w:val="hybridMultilevel"/>
    <w:tmpl w:val="3B9AF3C0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A3C01"/>
    <w:multiLevelType w:val="hybridMultilevel"/>
    <w:tmpl w:val="78D4C576"/>
    <w:lvl w:ilvl="0" w:tplc="0756E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41D6"/>
    <w:rsid w:val="0000614F"/>
    <w:rsid w:val="00014007"/>
    <w:rsid w:val="000C4205"/>
    <w:rsid w:val="000D60C2"/>
    <w:rsid w:val="00117136"/>
    <w:rsid w:val="00143E78"/>
    <w:rsid w:val="00152D0D"/>
    <w:rsid w:val="00175A73"/>
    <w:rsid w:val="001B0C20"/>
    <w:rsid w:val="001C1B8F"/>
    <w:rsid w:val="002036F3"/>
    <w:rsid w:val="00455B62"/>
    <w:rsid w:val="0061445C"/>
    <w:rsid w:val="00614C88"/>
    <w:rsid w:val="006214D5"/>
    <w:rsid w:val="0063058A"/>
    <w:rsid w:val="006A41F4"/>
    <w:rsid w:val="00827658"/>
    <w:rsid w:val="00864633"/>
    <w:rsid w:val="008B3165"/>
    <w:rsid w:val="008F00B0"/>
    <w:rsid w:val="00913E12"/>
    <w:rsid w:val="00A05AB1"/>
    <w:rsid w:val="00A33380"/>
    <w:rsid w:val="00CD2185"/>
    <w:rsid w:val="00D442E3"/>
    <w:rsid w:val="00DB4042"/>
    <w:rsid w:val="00DC41D6"/>
    <w:rsid w:val="00DD3E54"/>
    <w:rsid w:val="00E001F8"/>
    <w:rsid w:val="00E4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18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3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6584</Words>
  <Characters>3754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2021-09-07T09:35:00Z</cp:lastPrinted>
  <dcterms:created xsi:type="dcterms:W3CDTF">2021-08-19T09:07:00Z</dcterms:created>
  <dcterms:modified xsi:type="dcterms:W3CDTF">2021-09-07T09:35:00Z</dcterms:modified>
</cp:coreProperties>
</file>