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4F" w:rsidRDefault="0000614F" w:rsidP="0000614F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00614F" w:rsidRDefault="0000614F" w:rsidP="0000614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00614F" w:rsidRDefault="0000614F" w:rsidP="0000614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______________ 2021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№  _____ </w:t>
      </w:r>
    </w:p>
    <w:p w:rsidR="0000614F" w:rsidRPr="00565F1A" w:rsidRDefault="0000614F" w:rsidP="0000614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D60C2" w:rsidRDefault="0000614F" w:rsidP="0000614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 w:rsidR="0061445C">
        <w:rPr>
          <w:rFonts w:ascii="Times New Roman" w:hAnsi="Times New Roman"/>
          <w:b/>
          <w:iCs/>
          <w:color w:val="000000"/>
          <w:sz w:val="28"/>
          <w:szCs w:val="28"/>
        </w:rPr>
        <w:t>погодження розміру щомісячної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плати та</w:t>
      </w:r>
      <w:r w:rsidR="0061445C">
        <w:rPr>
          <w:rFonts w:ascii="Times New Roman" w:hAnsi="Times New Roman"/>
          <w:b/>
          <w:iCs/>
          <w:color w:val="000000"/>
          <w:sz w:val="28"/>
          <w:szCs w:val="28"/>
        </w:rPr>
        <w:t xml:space="preserve"> встановлення</w:t>
      </w:r>
    </w:p>
    <w:p w:rsidR="0000614F" w:rsidRDefault="0000614F" w:rsidP="0000614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пільг за навчання в Чортківській міській музичній школі </w:t>
      </w:r>
    </w:p>
    <w:p w:rsidR="0000614F" w:rsidRPr="0000614F" w:rsidRDefault="0000614F" w:rsidP="0000614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на 2021-2022 рр.</w:t>
      </w:r>
    </w:p>
    <w:p w:rsidR="0000614F" w:rsidRDefault="0000614F" w:rsidP="0000614F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0614F" w:rsidRPr="000D60C2" w:rsidRDefault="00152D0D" w:rsidP="00006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</w:t>
      </w:r>
      <w:r w:rsidR="001B0C20">
        <w:rPr>
          <w:rFonts w:ascii="Times New Roman" w:hAnsi="Times New Roman"/>
          <w:iCs/>
          <w:color w:val="000000"/>
          <w:sz w:val="28"/>
          <w:szCs w:val="28"/>
        </w:rPr>
        <w:t xml:space="preserve"> метою впорядкування оплати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за навчання у мистецькому навчальному закладі, здійснення закладом культури </w:t>
      </w:r>
      <w:r w:rsidR="0000614F" w:rsidRPr="007A24E6">
        <w:rPr>
          <w:rFonts w:ascii="Times New Roman" w:hAnsi="Times New Roman"/>
          <w:iCs/>
          <w:color w:val="000000"/>
          <w:sz w:val="28"/>
          <w:szCs w:val="28"/>
        </w:rPr>
        <w:t>своїх статутних завдань, збільшення та покращення якості надання культурних послуг,</w:t>
      </w:r>
      <w:r w:rsidRPr="00152D0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на підставі лист</w:t>
      </w:r>
      <w:r w:rsidR="0061445C">
        <w:rPr>
          <w:rFonts w:ascii="Times New Roman" w:hAnsi="Times New Roman"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Чортківської міської музичної школи від 25 серпня 2021 року №23, </w:t>
      </w:r>
      <w:r w:rsidR="0061445C">
        <w:rPr>
          <w:rFonts w:ascii="Times New Roman" w:eastAsia="Calibri" w:hAnsi="Times New Roman"/>
          <w:color w:val="000000"/>
          <w:sz w:val="28"/>
          <w:szCs w:val="28"/>
        </w:rPr>
        <w:t xml:space="preserve">враховуючи </w:t>
      </w:r>
      <w:r w:rsidR="0061445C">
        <w:rPr>
          <w:rFonts w:ascii="Times New Roman" w:hAnsi="Times New Roman"/>
          <w:color w:val="000000"/>
          <w:sz w:val="28"/>
          <w:szCs w:val="28"/>
        </w:rPr>
        <w:t>постанови Кабінету Міністрів України «Про плату за навчання у державних школах естетичного виховання дітей» від 06.07.1992 року №374 та «Про встановлення розміру плати за навчання у державних школах естетичного виховання дітей» від 25.03.1997 року №260, наказ Міністерства культури України від 09.08.2018 року №686 «Про затвердження Положення про мистецьку школу”,</w:t>
      </w:r>
      <w:r w:rsidR="0061445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0614F" w:rsidRPr="007A24E6">
        <w:rPr>
          <w:rFonts w:ascii="Times New Roman" w:hAnsi="Times New Roman"/>
          <w:iCs/>
          <w:color w:val="000000"/>
          <w:sz w:val="28"/>
          <w:szCs w:val="28"/>
        </w:rPr>
        <w:t>відповідно до п.2. ст. 29 та п.1. ст. 32 Закону України «Про місцеве самоврядування в Україні»</w:t>
      </w:r>
      <w:r w:rsidR="000061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0614F" w:rsidRPr="00611B22">
        <w:rPr>
          <w:rFonts w:ascii="Times New Roman" w:hAnsi="Times New Roman"/>
          <w:bCs/>
          <w:iCs/>
          <w:sz w:val="28"/>
          <w:szCs w:val="28"/>
        </w:rPr>
        <w:t>виконавчий комітет міської  ради</w:t>
      </w:r>
    </w:p>
    <w:p w:rsidR="0000614F" w:rsidRPr="00D73009" w:rsidRDefault="0000614F" w:rsidP="000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614F" w:rsidRPr="00611B22" w:rsidRDefault="0000614F" w:rsidP="0000614F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11B22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827658" w:rsidRDefault="0000614F" w:rsidP="0062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A24A5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6144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Погодити з 1 вересня 2021 року </w:t>
      </w:r>
      <w:r w:rsidR="000D60C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щомісячну плату </w:t>
      </w:r>
      <w:r w:rsidR="00827658">
        <w:rPr>
          <w:rFonts w:ascii="Times New Roman" w:hAnsi="Times New Roman"/>
          <w:bCs/>
          <w:iCs/>
          <w:color w:val="000000"/>
          <w:sz w:val="28"/>
          <w:szCs w:val="28"/>
        </w:rPr>
        <w:t>за навчання у Чортківській міській музичній школі на 2021-2022 нав</w:t>
      </w:r>
      <w:r w:rsidR="006214D5">
        <w:rPr>
          <w:rFonts w:ascii="Times New Roman" w:hAnsi="Times New Roman"/>
          <w:bCs/>
          <w:iCs/>
          <w:color w:val="000000"/>
          <w:sz w:val="28"/>
          <w:szCs w:val="28"/>
        </w:rPr>
        <w:t>чальний рік згідно з додатком 1.</w:t>
      </w:r>
    </w:p>
    <w:p w:rsidR="006214D5" w:rsidRDefault="006214D5" w:rsidP="0062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27658" w:rsidRDefault="0000614F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827658">
        <w:rPr>
          <w:rFonts w:ascii="Times New Roman" w:hAnsi="Times New Roman"/>
          <w:bCs/>
          <w:iCs/>
          <w:sz w:val="28"/>
          <w:szCs w:val="28"/>
        </w:rPr>
        <w:t>Погодити перелік пільг щодо оплати за навчання у Чортківській міській музичній школі на 2021-2022 навчальний рік згідно з додатком 2.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 w:rsidR="0082765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Затвердити Положення про перелік та порядок надання платних послуг Чортківською міською музичною школою згідно з додатком 3.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Default="006214D5" w:rsidP="006214D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>
        <w:rPr>
          <w:rFonts w:ascii="Times New Roman" w:hAnsi="Times New Roman"/>
          <w:bCs/>
          <w:iCs/>
          <w:sz w:val="28"/>
          <w:szCs w:val="28"/>
        </w:rPr>
        <w:t>Затвердити перелік платних послуг та ціни на послуги, що можуть надаватись Чортківською міською музичною школою у 2021-2022 навч</w:t>
      </w:r>
      <w:r>
        <w:rPr>
          <w:rFonts w:ascii="Times New Roman" w:hAnsi="Times New Roman"/>
          <w:bCs/>
          <w:iCs/>
          <w:sz w:val="28"/>
          <w:szCs w:val="28"/>
        </w:rPr>
        <w:t>альному році згідно з додатком 4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7658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="00827658">
        <w:rPr>
          <w:rFonts w:ascii="Times New Roman" w:hAnsi="Times New Roman"/>
          <w:bCs/>
          <w:iCs/>
          <w:sz w:val="28"/>
          <w:szCs w:val="28"/>
        </w:rPr>
        <w:t xml:space="preserve">Директору Чортківської міської музичної школи </w:t>
      </w:r>
      <w:proofErr w:type="spellStart"/>
      <w:r w:rsidR="00827658">
        <w:rPr>
          <w:rFonts w:ascii="Times New Roman" w:hAnsi="Times New Roman"/>
          <w:bCs/>
          <w:iCs/>
          <w:sz w:val="28"/>
          <w:szCs w:val="28"/>
        </w:rPr>
        <w:t>Цуркану</w:t>
      </w:r>
      <w:proofErr w:type="spellEnd"/>
      <w:r w:rsidR="00827658">
        <w:rPr>
          <w:rFonts w:ascii="Times New Roman" w:hAnsi="Times New Roman"/>
          <w:bCs/>
          <w:iCs/>
          <w:sz w:val="28"/>
          <w:szCs w:val="28"/>
        </w:rPr>
        <w:t xml:space="preserve"> О.Й. довести інформацію про перелік платних послуг, що можуть надаватись Чортківською міською музичною школою до педагогічного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колективу, учнів та їх батьків, громадськості.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5AB1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6.</w:t>
      </w:r>
      <w:r w:rsidR="00A05AB1">
        <w:rPr>
          <w:rFonts w:ascii="Times New Roman" w:hAnsi="Times New Roman"/>
          <w:bCs/>
          <w:iCs/>
          <w:sz w:val="28"/>
          <w:szCs w:val="28"/>
        </w:rPr>
        <w:t xml:space="preserve"> Доручити головному бухгалтеру управління культури та мистецтв Чортківської міської ради Миколі СТОДОЛІ здійснювати контроль за нарахуваннями та здійсненням оплати за платні послуги.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7658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A05AB1">
        <w:rPr>
          <w:rFonts w:ascii="Times New Roman" w:hAnsi="Times New Roman"/>
          <w:bCs/>
          <w:iCs/>
          <w:sz w:val="28"/>
          <w:szCs w:val="28"/>
        </w:rPr>
        <w:t xml:space="preserve">. Копію даного рішення направити в управління культури та мистецтв </w:t>
      </w:r>
      <w:r>
        <w:rPr>
          <w:rFonts w:ascii="Times New Roman" w:hAnsi="Times New Roman"/>
          <w:bCs/>
          <w:iCs/>
          <w:sz w:val="28"/>
          <w:szCs w:val="28"/>
        </w:rPr>
        <w:t xml:space="preserve">Чортківської </w:t>
      </w:r>
      <w:r w:rsidR="00A05AB1">
        <w:rPr>
          <w:rFonts w:ascii="Times New Roman" w:hAnsi="Times New Roman"/>
          <w:bCs/>
          <w:iCs/>
          <w:sz w:val="28"/>
          <w:szCs w:val="28"/>
        </w:rPr>
        <w:t>міської ради.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0614F" w:rsidRDefault="006214D5" w:rsidP="006214D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A05AB1">
        <w:rPr>
          <w:rFonts w:ascii="Times New Roman" w:hAnsi="Times New Roman"/>
          <w:bCs/>
          <w:iCs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</w:t>
      </w:r>
      <w:r>
        <w:rPr>
          <w:rFonts w:ascii="Times New Roman" w:hAnsi="Times New Roman"/>
          <w:bCs/>
          <w:iCs/>
          <w:sz w:val="28"/>
          <w:szCs w:val="28"/>
        </w:rPr>
        <w:t>в міської ради Людмилу КОЛІСНИК.</w:t>
      </w:r>
    </w:p>
    <w:p w:rsidR="006214D5" w:rsidRDefault="006214D5" w:rsidP="006214D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Pr="006214D5" w:rsidRDefault="006214D5" w:rsidP="006214D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0614F" w:rsidRPr="00556390" w:rsidRDefault="0000614F" w:rsidP="000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00614F" w:rsidRDefault="0000614F" w:rsidP="000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614F" w:rsidRDefault="0000614F" w:rsidP="000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614F" w:rsidRPr="00B02B46" w:rsidRDefault="0000614F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  <w:r w:rsidRPr="00D657CE">
        <w:rPr>
          <w:rFonts w:ascii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    </w:t>
      </w:r>
      <w:proofErr w:type="spellStart"/>
      <w:r w:rsidRPr="00B02B46">
        <w:rPr>
          <w:rFonts w:ascii="Times New Roman" w:hAnsi="Times New Roman" w:cs="Arial"/>
          <w:sz w:val="24"/>
          <w:szCs w:val="24"/>
          <w:lang w:eastAsia="ru-RU"/>
        </w:rPr>
        <w:t>Череднікова</w:t>
      </w:r>
      <w:proofErr w:type="spellEnd"/>
      <w:r w:rsidRPr="00B02B46">
        <w:rPr>
          <w:rFonts w:ascii="Times New Roman" w:hAnsi="Times New Roman" w:cs="Arial"/>
          <w:sz w:val="24"/>
          <w:szCs w:val="24"/>
          <w:lang w:eastAsia="ru-RU"/>
        </w:rPr>
        <w:t xml:space="preserve"> О.</w:t>
      </w:r>
    </w:p>
    <w:p w:rsidR="0000614F" w:rsidRDefault="0000614F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</w:t>
      </w:r>
      <w:r w:rsidRPr="00B02B46">
        <w:rPr>
          <w:rFonts w:ascii="Times New Roman" w:hAnsi="Times New Roman" w:cs="Arial"/>
          <w:sz w:val="24"/>
          <w:szCs w:val="24"/>
          <w:lang w:eastAsia="ru-RU"/>
        </w:rPr>
        <w:t>Колісник Л.</w:t>
      </w:r>
    </w:p>
    <w:p w:rsidR="006214D5" w:rsidRPr="00B02B46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</w:t>
      </w:r>
    </w:p>
    <w:p w:rsidR="0000614F" w:rsidRDefault="0000614F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</w:t>
      </w: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0614F" w:rsidRDefault="0000614F" w:rsidP="0000614F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lastRenderedPageBreak/>
        <w:t xml:space="preserve"> 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       </w:t>
      </w: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</w:t>
      </w:r>
      <w:r w:rsidR="006214D5">
        <w:rPr>
          <w:rFonts w:ascii="Times New Roman" w:hAnsi="Times New Roman" w:cs="Arial"/>
          <w:sz w:val="28"/>
          <w:szCs w:val="20"/>
          <w:lang w:eastAsia="ru-RU"/>
        </w:rPr>
        <w:t xml:space="preserve"> 1</w:t>
      </w:r>
    </w:p>
    <w:p w:rsidR="0000614F" w:rsidRDefault="0000614F" w:rsidP="0000614F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00614F" w:rsidRPr="00D657CE" w:rsidRDefault="0000614F" w:rsidP="0000614F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00614F" w:rsidRDefault="0000614F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Розмір щомісячної плати за навчання</w:t>
      </w: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у Чортківській міській музичні школі </w:t>
      </w: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2021-2022 навчальний рік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143E78">
      <w:pPr>
        <w:suppressAutoHyphens/>
        <w:spacing w:after="0" w:line="240" w:lineRule="auto"/>
        <w:ind w:right="-13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077"/>
      </w:tblGrid>
      <w:tr w:rsidR="00143E78" w:rsidTr="006214D5">
        <w:tc>
          <w:tcPr>
            <w:tcW w:w="675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03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 відділу/інструменту</w:t>
            </w:r>
          </w:p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77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Сума, грн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143E78">
            <w:pPr>
              <w:suppressAutoHyphens/>
              <w:ind w:right="-13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Фортепіано, гітара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143E78">
            <w:pPr>
              <w:suppressAutoHyphens/>
              <w:ind w:right="-13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Баян, акардеон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Струнно-смичкові інструменти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Бандура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Духові інструменти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Відділ образотворчого мистецтва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Вокал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143E78" w:rsidRPr="00143E78" w:rsidTr="006214D5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3" w:type="dxa"/>
          </w:tcPr>
          <w:p w:rsidR="00143E78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Театральний відділ</w:t>
            </w:r>
          </w:p>
        </w:tc>
        <w:tc>
          <w:tcPr>
            <w:tcW w:w="4077" w:type="dxa"/>
          </w:tcPr>
          <w:p w:rsidR="00143E78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C4205" w:rsidRPr="00336CE6" w:rsidRDefault="000C4205" w:rsidP="000C4205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6214D5" w:rsidRDefault="000C4205" w:rsidP="000C4205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143E78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2</w:t>
      </w:r>
    </w:p>
    <w:p w:rsidR="00143E78" w:rsidRDefault="00143E78" w:rsidP="00143E78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143E78" w:rsidRPr="00D657CE" w:rsidRDefault="00143E78" w:rsidP="00143E78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143E78" w:rsidRDefault="00143E78" w:rsidP="00143E78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143E78">
      <w:pPr>
        <w:tabs>
          <w:tab w:val="left" w:pos="748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Перелік пільг щодо плати за навчання </w:t>
      </w:r>
    </w:p>
    <w:p w:rsidR="00143E78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 Чортківській міській музичній школі </w:t>
      </w:r>
    </w:p>
    <w:p w:rsidR="006214D5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2021-2022 навчальний рік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143E78" w:rsidTr="00143E78">
        <w:tc>
          <w:tcPr>
            <w:tcW w:w="67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9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Пільгова категорія</w:t>
            </w:r>
          </w:p>
        </w:tc>
        <w:tc>
          <w:tcPr>
            <w:tcW w:w="328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Розмір пільги у %</w:t>
            </w:r>
          </w:p>
        </w:tc>
      </w:tr>
      <w:tr w:rsidR="00143E78" w:rsidTr="00143E78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95" w:type="dxa"/>
          </w:tcPr>
          <w:p w:rsidR="00143E78" w:rsidRPr="00CD218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 із багатодітних сімей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Діти-інваліди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 із малозабезпечених сімей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Діти-сироти та позбавлені батьківського піклування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Діти, батьки яких є учасниками АТО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CD2185" w:rsidP="00CD2185">
      <w:pPr>
        <w:pStyle w:val="a4"/>
        <w:numPr>
          <w:ilvl w:val="0"/>
          <w:numId w:val="3"/>
        </w:num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Додаткові пільги щодо плати за навчання у Чортківській міській музичній школа на 2021-2022 навчальний рік</w:t>
      </w:r>
    </w:p>
    <w:p w:rsidR="00CD2185" w:rsidRPr="00CD2185" w:rsidRDefault="00CD2185" w:rsidP="00CD2185">
      <w:pPr>
        <w:pStyle w:val="a4"/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CD2185" w:rsidTr="00DA66F2">
        <w:tc>
          <w:tcPr>
            <w:tcW w:w="67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9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Пільгова категорія</w:t>
            </w:r>
          </w:p>
        </w:tc>
        <w:tc>
          <w:tcPr>
            <w:tcW w:w="328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Розмір пільги у %</w:t>
            </w:r>
          </w:p>
        </w:tc>
      </w:tr>
      <w:tr w:rsidR="00CD2185" w:rsidTr="00DA66F2">
        <w:tc>
          <w:tcPr>
            <w:tcW w:w="675" w:type="dxa"/>
          </w:tcPr>
          <w:p w:rsidR="00CD2185" w:rsidRDefault="00CD2185" w:rsidP="00DA66F2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95" w:type="dxa"/>
          </w:tcPr>
          <w:p w:rsidR="00CD2185" w:rsidRPr="00CD2185" w:rsidRDefault="00CD2185" w:rsidP="00DA66F2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Діти, які навчаються грі одночасно на двох музичних інструментах або навчаються на двох відділах</w:t>
            </w:r>
          </w:p>
        </w:tc>
        <w:tc>
          <w:tcPr>
            <w:tcW w:w="3285" w:type="dxa"/>
          </w:tcPr>
          <w:p w:rsidR="00CD2185" w:rsidRP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C4205" w:rsidRPr="00336CE6" w:rsidRDefault="000C4205" w:rsidP="000C4205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6214D5" w:rsidRDefault="000C4205" w:rsidP="000C4205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</w:t>
      </w: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3</w:t>
      </w:r>
    </w:p>
    <w:p w:rsidR="00CD2185" w:rsidRDefault="00CD2185" w:rsidP="00CD2185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CD2185" w:rsidRPr="00D657CE" w:rsidRDefault="00CD2185" w:rsidP="00CD2185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CD2185" w:rsidRDefault="00CD2185" w:rsidP="00CD2185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CD2185">
      <w:pPr>
        <w:suppressAutoHyphens/>
        <w:spacing w:after="0" w:line="240" w:lineRule="auto"/>
        <w:ind w:right="-128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b/>
          <w:sz w:val="24"/>
          <w:szCs w:val="24"/>
          <w:lang w:eastAsia="ru-RU"/>
        </w:rPr>
        <w:t>ПОЛОЖЕННЯ</w:t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b/>
          <w:sz w:val="24"/>
          <w:szCs w:val="24"/>
          <w:lang w:eastAsia="ru-RU"/>
        </w:rPr>
        <w:t>про перелік та порядок надання платних послуг</w:t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Чортківською міською музичною школою</w:t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b/>
          <w:sz w:val="24"/>
          <w:szCs w:val="24"/>
          <w:lang w:eastAsia="ru-RU"/>
        </w:rPr>
        <w:t>1.Загальні положення</w:t>
      </w:r>
    </w:p>
    <w:p w:rsidR="001C1B8F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1.1</w:t>
      </w:r>
      <w:r>
        <w:rPr>
          <w:rFonts w:ascii="Times New Roman" w:hAnsi="Times New Roman"/>
          <w:sz w:val="24"/>
          <w:szCs w:val="24"/>
          <w:lang w:eastAsia="ru-RU"/>
        </w:rPr>
        <w:t>. Чортківська міська музична школа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здійснює свою діяльність відповідно до Положення про початковий спеціалізований мистецький навчальний заклад, затвердженим наказом Мінкультури від 06.08.2001р. № 523, Переліку платних послуг, які можуть надаватись навчальними закладами, іншими установами та закладами системи освіти, що належать до державної та комунальної форм власності, затвердженого постановою КМУ від 27.08.2010р. № 796, Порядку визначення вартості та надання платних послуг закладами культури, заснованими на державній та комунальній формі власності, затвердженим спільним </w:t>
      </w:r>
      <w:proofErr w:type="spellStart"/>
      <w:r w:rsidRPr="00CD2185">
        <w:rPr>
          <w:rFonts w:ascii="Times New Roman" w:hAnsi="Times New Roman"/>
          <w:sz w:val="24"/>
          <w:szCs w:val="24"/>
          <w:lang w:eastAsia="ru-RU"/>
        </w:rPr>
        <w:t>наказим</w:t>
      </w:r>
      <w:proofErr w:type="spellEnd"/>
      <w:r w:rsidRPr="00CD2185">
        <w:rPr>
          <w:rFonts w:ascii="Times New Roman" w:hAnsi="Times New Roman"/>
          <w:sz w:val="24"/>
          <w:szCs w:val="24"/>
          <w:lang w:eastAsia="ru-RU"/>
        </w:rPr>
        <w:t xml:space="preserve"> Міністерства культури України, Міністерства фінансів України та Міністерства економічного розвитку від 1.12.2015 року №1004/1113/1556,  та</w:t>
      </w:r>
      <w:r w:rsidR="001C1B8F">
        <w:rPr>
          <w:rFonts w:ascii="Times New Roman" w:hAnsi="Times New Roman"/>
          <w:sz w:val="24"/>
          <w:szCs w:val="24"/>
          <w:lang w:eastAsia="ru-RU"/>
        </w:rPr>
        <w:t>………………..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1.2. При  наданні  платних  освітніх  послуг  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Чортківською міською музичною школою 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застосовуються нормативно-правові  акти,  що  регулюють  надання  послуг  у сфері освітньої-культурної  діяльності.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1.3. У  цьому  Порядку  наведені  нижче  терміни вживаються у такому значенні: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замовник -   фізична  чи  юридична  особа,  яка  на  підставі договору  (контракту,  заяви)  з  навчальним   закладом   замовляє навчальному  закладу  платну   послугу  для себе або іншої особи, беручи на себе фінансові зобов'язання щодо її оплати;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 навчальні заклади - дошкільні,  позашкільні, загальноосвітні, інші установи та заклади системи  освіти.  До навчальних  закладів  у  цьому  Порядку  віднесено також навчальні заклади - структурні  підрозділи  навчальних  закладів (відділення, відділи, студії, центри), що  діють згідно  із  затвердженими  положеннями і  безпосередньо  надають платні освітні послуги;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особи, які навчаються,  - діти дошкільного  віку,  вихованці, учні  дошкільних  навчальних закладів;  вихованці,  учні,  слухачі позашкільних навчальних закладів; учні, вихованці загальноосвітніх навчальних закладів; учні, слухачі професійно-технічних навчальних закладів;  студенти,  слухачі вищих  навчальних  закладів;  інші  громадяни,  яким   Теребовлянською мистецькою школою надаються платні освітні послуги;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ab/>
        <w:t>послуга - термін вживається у значенні,  визначеному  Законом України "Про захист прав споживачів".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  1.4. Чортківська міська музична </w:t>
      </w:r>
      <w:r w:rsidRPr="00CD2185">
        <w:rPr>
          <w:rFonts w:ascii="Times New Roman" w:hAnsi="Times New Roman"/>
          <w:sz w:val="24"/>
          <w:szCs w:val="24"/>
          <w:lang w:eastAsia="ru-RU"/>
        </w:rPr>
        <w:t>школа зобов'язана: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безкоштовно надати замовнику повну,  доступну  та  достовірну інформацію   щодо  порядку  та  умов  надання  конкретної  платної  послуги, її вартості, порядку та строку оплати,  -  не пізніше ніж за один місяць до дати прийому заяв від осіб, що бажають її отримати; вартість інших  платних  освітніх  послуг - не пізніше ніж за 15 календарних днів до початку їх надання.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1.5. Деякі платні  послуги  можуть  надаватись  тими  самими працівниками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 школи</w:t>
      </w:r>
      <w:r w:rsidRPr="00CD2185">
        <w:rPr>
          <w:rFonts w:ascii="Times New Roman" w:hAnsi="Times New Roman"/>
          <w:sz w:val="24"/>
          <w:szCs w:val="24"/>
          <w:lang w:eastAsia="ru-RU"/>
        </w:rPr>
        <w:t>,  що  працюють згідно штатного розкладу, а також сторонніми особами які не  перебувають у штаті Теребовлянської мистецької школи але залучені до надання платних послуг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 на підставі угоди цивільно-правового характеру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1.6. Платні освітні послуги надаються на  підставі  письмової заяви  -  для фізичної особи;  договору  - для фізичної або юридичної особи.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1.7. Кошти,  отримані навчальним закладом від надання платних послуг,  зараховуються на відповідні рахунки,  відкриті в органах  Державного  казначейства  України,  та   використовуються згідно   із   затвердженим   кошторисом   директором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школи з урахуванням вимог законодавства.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     1.8. Матеріальні   цінності,   майно    закладу, придбане  або  створене  за рахунок коштів,  отриманих від платних освітніх  послуг,  належить   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Чортківській міській музичній школі 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на   правах, визначених  чинним  законодавством,  та  використовується  ним для виконання своїх функціональних повноважень.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1.9. Розмір плати за послуги, що надаються 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Чортківською міською музичною школою 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встановлюється виконавчим комітетом міської ради один раз на рік на початку навчального року.</w:t>
      </w:r>
    </w:p>
    <w:p w:rsidR="00D442E3" w:rsidRDefault="001C1B8F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2. </w:t>
      </w:r>
      <w:r w:rsidRPr="001C1B8F">
        <w:rPr>
          <w:rFonts w:ascii="Times New Roman" w:hAnsi="Times New Roman"/>
          <w:b/>
          <w:sz w:val="24"/>
          <w:szCs w:val="24"/>
          <w:lang w:eastAsia="ru-RU"/>
        </w:rPr>
        <w:t xml:space="preserve">Перелік 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 xml:space="preserve"> платних послуг:</w:t>
      </w:r>
    </w:p>
    <w:p w:rsidR="001C1B8F" w:rsidRPr="00CD2185" w:rsidRDefault="00CD2185" w:rsidP="00D442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1. Навчання   у  студіях,  на  курсах,  проведення  занять  у лі</w:t>
      </w:r>
      <w:r w:rsidR="001C1B8F">
        <w:rPr>
          <w:rFonts w:ascii="Times New Roman" w:hAnsi="Times New Roman"/>
          <w:sz w:val="24"/>
          <w:szCs w:val="24"/>
          <w:lang w:eastAsia="ru-RU"/>
        </w:rPr>
        <w:t>тературно-музичних вітальнях.</w:t>
      </w:r>
    </w:p>
    <w:p w:rsidR="00CD2185" w:rsidRPr="00CD2185" w:rsidRDefault="001C1B8F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Організація  діяльності  любительських об'єднань та клубів за   інтересами  з можливим запрошенням  сторонніх осіб та організацій. 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1B8F">
        <w:rPr>
          <w:rFonts w:ascii="Times New Roman" w:hAnsi="Times New Roman"/>
          <w:sz w:val="24"/>
          <w:szCs w:val="24"/>
          <w:lang w:eastAsia="ru-RU"/>
        </w:rPr>
        <w:t>3.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Розроблення  сценаріїв,  постановочна  робота і проведення заходів за заявками підприємств, установ та організацій.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Проведення    спектаклів     і     концертів     художньої самодіяльності.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Проведення  театралізованих свят,  фестивалів,  конкурсів, спортивно-розважальних,  оздоровчих,  обрядових заходів,  виставок-продаж книг і творів образотворчого мистецтва, та товарів народного вживання.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6.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Надання    послуг    з   організації   та/або   проведення культурно-масових      заходів,      міжнародних      симпозіумів, науково-практичних    конференцій,    семінарів,   майстер-класів, концертів, фестивалів, виставок і вистав.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Надання    послуг    з   організації   та/або   проведення  вистав,  театральних  та  музичних постановок, концертів,  оперних  і  балетних  спектаклів,  інших   постановок, виступи  артистичних  груп,  труп,  оркестрів та окремих артистів. Проведення концертів-презентацій, фестивалів, бенефісів, естрадних шоу, циркових вистав, демонстрація відео - і кінофільмів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Н</w:t>
      </w:r>
      <w:r w:rsidR="001C1B8F">
        <w:rPr>
          <w:rFonts w:ascii="Times New Roman" w:hAnsi="Times New Roman"/>
          <w:sz w:val="24"/>
          <w:szCs w:val="24"/>
          <w:lang w:eastAsia="ru-RU"/>
        </w:rPr>
        <w:t>адання  послуг  з оренди глядацької зали, навчальних класів в позаурочний визначений час.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9.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Продаж у неспеціалізованих  магазинах  (кіосках,  лотках) видань   про    діяльність  закладу, а також сувенірних виробів, значків, виробів народних промислів, </w:t>
      </w:r>
      <w:proofErr w:type="spellStart"/>
      <w:r w:rsidR="00CD2185" w:rsidRPr="00CD2185">
        <w:rPr>
          <w:rFonts w:ascii="Times New Roman" w:hAnsi="Times New Roman"/>
          <w:sz w:val="24"/>
          <w:szCs w:val="24"/>
          <w:lang w:eastAsia="ru-RU"/>
        </w:rPr>
        <w:t>декоративно</w:t>
      </w:r>
      <w:proofErr w:type="spellEnd"/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-ужиткового мистецтва.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Розроблення  та  оформлення  інтер'єрів,   дизайнерського оздоблення виставкових стендів.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Ремонт,     настроювання    і    налагодження    музичних інструментів, звуко-, світло- та відеоапаратури.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Прокат  музичних  інструментів,  сценічних костюмів,  взуття, театрального реквізиту.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Фотокопіювання,     репродукування,      ксерокопіювання, мікрофільмування,   </w:t>
      </w:r>
      <w:proofErr w:type="spellStart"/>
      <w:r w:rsidR="00CD2185" w:rsidRPr="00CD2185">
        <w:rPr>
          <w:rFonts w:ascii="Times New Roman" w:hAnsi="Times New Roman"/>
          <w:sz w:val="24"/>
          <w:szCs w:val="24"/>
          <w:lang w:eastAsia="ru-RU"/>
        </w:rPr>
        <w:t>мікрокопіювання</w:t>
      </w:r>
      <w:proofErr w:type="spellEnd"/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  з   книжок,  брошур,  газет, журналів,  музейних експонатів,  документів  з  фондів  бібліотек, музеїв.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Виготовлення   фонограм  концертів  і  спектаклів,  копій звукозапису музичних творів з </w:t>
      </w:r>
      <w:proofErr w:type="spellStart"/>
      <w:r w:rsidR="00CD2185" w:rsidRPr="00CD2185">
        <w:rPr>
          <w:rFonts w:ascii="Times New Roman" w:hAnsi="Times New Roman"/>
          <w:sz w:val="24"/>
          <w:szCs w:val="24"/>
          <w:lang w:eastAsia="ru-RU"/>
        </w:rPr>
        <w:t>фонотек</w:t>
      </w:r>
      <w:proofErr w:type="spellEnd"/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театрів,  музеїв, бібліотек, клубних     закладів,     парків     культури    та    відпочинку, науково-методичних  центрів,  надання  послуг  студій   звуко-   і відеозапису.</w:t>
      </w:r>
    </w:p>
    <w:p w:rsidR="00CD2185" w:rsidRPr="00CD2185" w:rsidRDefault="001C1B8F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442E3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>Порядок визначення вартості платних послуг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3.1.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  <w:t>Розмір плати за той чи інший вид послуги визначається на підставі її ціни. Базою для визначення ціни послуги є розрахунок витрат, пов’язаних з наданням послуги.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3.2.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  <w:t>При наданні послуг використовуються ціни і тарифи встановлені та затверджені виконавчим комітетом міської ради.</w:t>
      </w:r>
    </w:p>
    <w:p w:rsidR="00CD2185" w:rsidRPr="00CD2185" w:rsidRDefault="001C1B8F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442E3" w:rsidRPr="00D442E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>Планування та використання доходів від надання платних послуг.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4.1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Надходження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  <w:t xml:space="preserve">до спеціального фонду, отримані від надання платних послуг першочергово використовуються на покриття витрат, пов’язаних з організацією та наданням цих послуг згідно з кошторисом, затвердженим директором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 школи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в установленому законодавством порядку, а саме: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>-</w:t>
      </w:r>
      <w:r w:rsidRPr="00CD2185">
        <w:rPr>
          <w:rFonts w:ascii="Times New Roman" w:hAnsi="Times New Roman"/>
          <w:sz w:val="24"/>
          <w:szCs w:val="24"/>
          <w:lang w:eastAsia="ru-RU"/>
        </w:rPr>
        <w:tab/>
        <w:t>на оплату праці залучених до виконання платних послуг працівників у розмірі 50% від вартості послуги;;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>-</w:t>
      </w:r>
      <w:r w:rsidRPr="00CD2185">
        <w:rPr>
          <w:rFonts w:ascii="Times New Roman" w:hAnsi="Times New Roman"/>
          <w:sz w:val="24"/>
          <w:szCs w:val="24"/>
          <w:lang w:eastAsia="ru-RU"/>
        </w:rPr>
        <w:tab/>
        <w:t xml:space="preserve">на розвиток матеріальної бази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 школи</w:t>
      </w:r>
      <w:r w:rsidRPr="00CD2185">
        <w:rPr>
          <w:rFonts w:ascii="Times New Roman" w:hAnsi="Times New Roman"/>
          <w:sz w:val="24"/>
          <w:szCs w:val="24"/>
          <w:lang w:eastAsia="ru-RU"/>
        </w:rPr>
        <w:t>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>-</w:t>
      </w:r>
      <w:r w:rsidRPr="00CD2185">
        <w:rPr>
          <w:rFonts w:ascii="Times New Roman" w:hAnsi="Times New Roman"/>
          <w:sz w:val="24"/>
          <w:szCs w:val="24"/>
          <w:lang w:eastAsia="ru-RU"/>
        </w:rPr>
        <w:tab/>
        <w:t xml:space="preserve">на преміювання як працівників, безпосередньо зайнятих їх виконанням, так і тих, хто сприяє їх здійсненню, згідно з положенням, затвердженим керівником 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4.2.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Чортківська міська музична школа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зобов’язана вести облік платних послуг та складати звітність за цим видом діяльності.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442E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>. Заключні положення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.1 Відповідальність за організацію і якість надання платних послуг, а також обґрунтованість розмірів плати за послуги несе керівник закладу та працівники, які беруть безпосередню участь у процесі надання платних послуг.</w:t>
      </w: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4205" w:rsidRPr="00336CE6" w:rsidRDefault="000C4205" w:rsidP="000C4205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CD2185" w:rsidRPr="00CD2185" w:rsidRDefault="000C4205" w:rsidP="000C420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3380" w:rsidRDefault="00A33380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3380" w:rsidRDefault="00A33380" w:rsidP="00A33380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</w:t>
      </w: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4</w:t>
      </w:r>
    </w:p>
    <w:p w:rsidR="00A33380" w:rsidRDefault="00A33380" w:rsidP="00A33380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CD2185" w:rsidRPr="00A33380" w:rsidRDefault="00A33380" w:rsidP="00A33380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Перелік платних послуг та ціни на  них, що</w:t>
      </w:r>
      <w:r w:rsidRPr="00A333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можуть надаватись</w:t>
      </w:r>
    </w:p>
    <w:p w:rsid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Чортківською міською музичною школою</w:t>
      </w:r>
    </w:p>
    <w:p w:rsidR="00A33380" w:rsidRP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33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 2021-2022 навчальному році</w:t>
      </w:r>
    </w:p>
    <w:p w:rsidR="00A33380" w:rsidRPr="00A33380" w:rsidRDefault="00A33380" w:rsidP="00A333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3380" w:rsidRPr="00A33380" w:rsidRDefault="00A33380" w:rsidP="00A333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6663"/>
        <w:gridCol w:w="2120"/>
      </w:tblGrid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 платної послуги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Ціна, грн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вистав, театральних та музичних постановок, бенефісів, естрадних шоу.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/ з особи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Оренда концертного залу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300/день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Оренда музичних інструментів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50-13</w:t>
            </w: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0/місяць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Концертна послуга (тематична концертна програма </w:t>
            </w:r>
            <w:r w:rsidR="000C4205">
              <w:rPr>
                <w:rFonts w:ascii="Times New Roman" w:hAnsi="Times New Roman"/>
                <w:sz w:val="28"/>
                <w:szCs w:val="28"/>
                <w:lang w:eastAsia="ru-RU"/>
              </w:rPr>
              <w:t>до 45 хв.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Оренда музичного обладнання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300/ год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Індивідуальні заняття з навчання гри на музичних інструментах</w:t>
            </w:r>
            <w:r w:rsidR="000C4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дітей до 18 років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300/місяць</w:t>
            </w:r>
          </w:p>
        </w:tc>
      </w:tr>
      <w:tr w:rsidR="000C4205" w:rsidRPr="00A33380" w:rsidTr="00A33380">
        <w:tc>
          <w:tcPr>
            <w:tcW w:w="566" w:type="dxa"/>
          </w:tcPr>
          <w:p w:rsidR="000C4205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3" w:type="dxa"/>
          </w:tcPr>
          <w:p w:rsidR="000C4205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Індивідуальні заняття з навчання гри на музичних інструментах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дорослих</w:t>
            </w:r>
          </w:p>
        </w:tc>
        <w:tc>
          <w:tcPr>
            <w:tcW w:w="2120" w:type="dxa"/>
          </w:tcPr>
          <w:p w:rsidR="000C4205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500/місяць або</w:t>
            </w:r>
          </w:p>
          <w:p w:rsidR="000C4205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1600/ курс</w:t>
            </w:r>
          </w:p>
        </w:tc>
      </w:tr>
    </w:tbl>
    <w:p w:rsidR="00A33380" w:rsidRPr="00A33380" w:rsidRDefault="00A33380" w:rsidP="00A333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14F" w:rsidRPr="004D0D33" w:rsidRDefault="0000614F" w:rsidP="000061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14F" w:rsidRPr="00A316DE" w:rsidRDefault="0000614F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00614F" w:rsidRPr="00336CE6" w:rsidRDefault="0000614F" w:rsidP="0000614F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00614F" w:rsidRDefault="0000614F" w:rsidP="0000614F">
      <w:pPr>
        <w:suppressAutoHyphens/>
        <w:spacing w:after="0" w:line="240" w:lineRule="auto"/>
        <w:ind w:left="-142" w:right="142"/>
        <w:jc w:val="both"/>
        <w:rPr>
          <w:sz w:val="28"/>
          <w:szCs w:val="28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00614F" w:rsidRPr="006F0BE7" w:rsidRDefault="0000614F" w:rsidP="0000614F">
      <w:pPr>
        <w:rPr>
          <w:sz w:val="28"/>
          <w:szCs w:val="28"/>
        </w:rPr>
      </w:pPr>
    </w:p>
    <w:p w:rsidR="00175A73" w:rsidRDefault="0063058A">
      <w:r>
        <w:t xml:space="preserve"> </w:t>
      </w:r>
    </w:p>
    <w:sectPr w:rsidR="00175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1DEB"/>
    <w:multiLevelType w:val="hybridMultilevel"/>
    <w:tmpl w:val="1FEAC028"/>
    <w:lvl w:ilvl="0" w:tplc="E85803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6E60F2"/>
    <w:multiLevelType w:val="hybridMultilevel"/>
    <w:tmpl w:val="3B9AF3C0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A3C01"/>
    <w:multiLevelType w:val="hybridMultilevel"/>
    <w:tmpl w:val="78D4C576"/>
    <w:lvl w:ilvl="0" w:tplc="0756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1D6"/>
    <w:rsid w:val="0000614F"/>
    <w:rsid w:val="00014007"/>
    <w:rsid w:val="000C4205"/>
    <w:rsid w:val="000D60C2"/>
    <w:rsid w:val="00117136"/>
    <w:rsid w:val="00143E78"/>
    <w:rsid w:val="00152D0D"/>
    <w:rsid w:val="00175A73"/>
    <w:rsid w:val="001B0C20"/>
    <w:rsid w:val="001C1B8F"/>
    <w:rsid w:val="0061445C"/>
    <w:rsid w:val="006214D5"/>
    <w:rsid w:val="0063058A"/>
    <w:rsid w:val="00827658"/>
    <w:rsid w:val="00864633"/>
    <w:rsid w:val="00A05AB1"/>
    <w:rsid w:val="00A33380"/>
    <w:rsid w:val="00CD2185"/>
    <w:rsid w:val="00D442E3"/>
    <w:rsid w:val="00DB4042"/>
    <w:rsid w:val="00DC41D6"/>
    <w:rsid w:val="00E001F8"/>
    <w:rsid w:val="00E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9DCF"/>
  <w15:chartTrackingRefBased/>
  <w15:docId w15:val="{EA923B74-30A9-473B-AC93-ADF29B60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18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8</Pages>
  <Words>8238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2021-08-19T09:07:00Z</dcterms:created>
  <dcterms:modified xsi:type="dcterms:W3CDTF">2021-09-01T06:44:00Z</dcterms:modified>
</cp:coreProperties>
</file>