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61" w:rsidRDefault="003E6261" w:rsidP="0052649F">
      <w:pPr>
        <w:tabs>
          <w:tab w:val="left" w:pos="6120"/>
        </w:tabs>
        <w:ind w:right="57"/>
        <w:jc w:val="center"/>
        <w:rPr>
          <w:b/>
          <w:bCs/>
          <w:sz w:val="28"/>
          <w:szCs w:val="28"/>
          <w:lang w:val="en-US"/>
        </w:rPr>
      </w:pPr>
    </w:p>
    <w:p w:rsidR="003E6261" w:rsidRPr="00DC077B" w:rsidRDefault="003E6261" w:rsidP="0052649F">
      <w:pPr>
        <w:tabs>
          <w:tab w:val="left" w:pos="6120"/>
        </w:tabs>
        <w:ind w:right="57"/>
        <w:jc w:val="center"/>
        <w:rPr>
          <w:b/>
          <w:bCs/>
          <w:sz w:val="28"/>
          <w:szCs w:val="28"/>
          <w:lang w:val="uk-UA"/>
        </w:rPr>
      </w:pPr>
      <w:r w:rsidRPr="00E76647">
        <w:rPr>
          <w:b/>
          <w:bCs/>
          <w:sz w:val="28"/>
          <w:szCs w:val="28"/>
          <w:lang w:val="uk-UA"/>
        </w:rPr>
        <w:t>Пояснювальна записка до проекту змін до Фінансового плану Комунального некомер</w:t>
      </w:r>
      <w:r>
        <w:rPr>
          <w:b/>
          <w:bCs/>
          <w:sz w:val="28"/>
          <w:szCs w:val="28"/>
          <w:lang w:val="uk-UA"/>
        </w:rPr>
        <w:t>ційного підприємства «Чортківської міської стоматологічної поліклініки</w:t>
      </w:r>
      <w:r w:rsidRPr="00E76647">
        <w:rPr>
          <w:b/>
          <w:bCs/>
          <w:sz w:val="28"/>
          <w:szCs w:val="28"/>
          <w:lang w:val="uk-UA"/>
        </w:rPr>
        <w:t>» Чортківської міської ради</w:t>
      </w:r>
      <w:r>
        <w:rPr>
          <w:b/>
          <w:bCs/>
          <w:sz w:val="28"/>
          <w:szCs w:val="28"/>
          <w:lang w:val="uk-UA"/>
        </w:rPr>
        <w:t xml:space="preserve">  </w:t>
      </w:r>
      <w:r w:rsidRPr="00E76647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ІІ</w:t>
      </w:r>
      <w:r w:rsidRPr="0052649F">
        <w:rPr>
          <w:b/>
          <w:bCs/>
          <w:sz w:val="28"/>
          <w:szCs w:val="28"/>
          <w:lang w:val="en-US"/>
        </w:rPr>
        <w:t xml:space="preserve"> </w:t>
      </w:r>
      <w:r w:rsidRPr="00E76647">
        <w:rPr>
          <w:b/>
          <w:bCs/>
          <w:sz w:val="28"/>
          <w:szCs w:val="28"/>
          <w:lang w:val="uk-UA"/>
        </w:rPr>
        <w:t>квартали на 2021 рік</w:t>
      </w:r>
    </w:p>
    <w:p w:rsidR="003E6261" w:rsidRDefault="003E6261" w:rsidP="002F0B48">
      <w:pPr>
        <w:tabs>
          <w:tab w:val="left" w:pos="6120"/>
        </w:tabs>
        <w:ind w:right="57" w:firstLine="567"/>
        <w:jc w:val="right"/>
        <w:rPr>
          <w:sz w:val="28"/>
          <w:szCs w:val="28"/>
          <w:lang w:val="uk-UA"/>
        </w:rPr>
      </w:pPr>
    </w:p>
    <w:p w:rsidR="003E6261" w:rsidRDefault="003E6261" w:rsidP="002F0B48">
      <w:pPr>
        <w:tabs>
          <w:tab w:val="left" w:pos="6120"/>
        </w:tabs>
        <w:ind w:right="57" w:firstLine="567"/>
        <w:jc w:val="right"/>
        <w:rPr>
          <w:sz w:val="28"/>
          <w:szCs w:val="28"/>
          <w:lang w:val="uk-UA"/>
        </w:rPr>
      </w:pPr>
    </w:p>
    <w:p w:rsidR="003E6261" w:rsidRDefault="003E6261" w:rsidP="0052649F">
      <w:pPr>
        <w:ind w:right="-5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п.6 Порядку складання, затвердження та контролю виконання фінансового плану, КНП «ЧМСП» Чортківської міської ради вносить зміни до фінансового плану за ІІІ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квартали 2021 року.</w:t>
      </w:r>
    </w:p>
    <w:p w:rsidR="003E6261" w:rsidRDefault="003E6261" w:rsidP="00477EC1">
      <w:pPr>
        <w:ind w:right="57"/>
        <w:jc w:val="both"/>
        <w:rPr>
          <w:sz w:val="28"/>
          <w:szCs w:val="28"/>
          <w:lang w:val="uk-UA"/>
        </w:rPr>
      </w:pPr>
    </w:p>
    <w:p w:rsidR="003E6261" w:rsidRDefault="003E6261" w:rsidP="00477EC1">
      <w:pPr>
        <w:ind w:right="57" w:firstLine="567"/>
        <w:jc w:val="center"/>
        <w:rPr>
          <w:b/>
          <w:bCs/>
          <w:i/>
          <w:iCs/>
          <w:sz w:val="28"/>
          <w:szCs w:val="28"/>
          <w:lang w:val="uk-UA"/>
        </w:rPr>
      </w:pPr>
      <w:r w:rsidRPr="00A452B2">
        <w:rPr>
          <w:b/>
          <w:bCs/>
          <w:i/>
          <w:iCs/>
          <w:sz w:val="28"/>
          <w:szCs w:val="28"/>
          <w:lang w:val="uk-UA"/>
        </w:rPr>
        <w:t xml:space="preserve">1. </w:t>
      </w:r>
      <w:r>
        <w:rPr>
          <w:b/>
          <w:bCs/>
          <w:i/>
          <w:iCs/>
          <w:sz w:val="28"/>
          <w:szCs w:val="28"/>
          <w:lang w:val="uk-UA"/>
        </w:rPr>
        <w:t>Д</w:t>
      </w:r>
      <w:r w:rsidRPr="00A452B2">
        <w:rPr>
          <w:b/>
          <w:bCs/>
          <w:i/>
          <w:iCs/>
          <w:sz w:val="28"/>
          <w:szCs w:val="28"/>
          <w:lang w:val="uk-UA"/>
        </w:rPr>
        <w:t>охідн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частин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Фінансового плану</w:t>
      </w:r>
    </w:p>
    <w:p w:rsidR="003E6261" w:rsidRPr="00DC077B" w:rsidRDefault="003E6261" w:rsidP="00DC077B">
      <w:pPr>
        <w:ind w:right="57" w:firstLine="567"/>
        <w:jc w:val="right"/>
        <w:rPr>
          <w:sz w:val="28"/>
          <w:szCs w:val="28"/>
          <w:lang w:val="uk-UA"/>
        </w:rPr>
      </w:pPr>
      <w:r w:rsidRPr="00DC077B">
        <w:rPr>
          <w:sz w:val="28"/>
          <w:szCs w:val="28"/>
          <w:lang w:val="uk-UA"/>
        </w:rPr>
        <w:t>тис.грн.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3"/>
        <w:gridCol w:w="1165"/>
        <w:gridCol w:w="1080"/>
        <w:gridCol w:w="960"/>
        <w:gridCol w:w="1320"/>
        <w:gridCol w:w="1080"/>
        <w:gridCol w:w="1200"/>
        <w:gridCol w:w="1320"/>
      </w:tblGrid>
      <w:tr w:rsidR="003E6261" w:rsidTr="0052649F">
        <w:tc>
          <w:tcPr>
            <w:tcW w:w="1943" w:type="dxa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Показник фінансового плану</w:t>
            </w:r>
          </w:p>
        </w:tc>
        <w:tc>
          <w:tcPr>
            <w:tcW w:w="1165" w:type="dxa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Код рядка фінан-сового плану</w:t>
            </w:r>
          </w:p>
        </w:tc>
        <w:tc>
          <w:tcPr>
            <w:tcW w:w="2040" w:type="dxa"/>
            <w:gridSpan w:val="2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400" w:type="dxa"/>
            <w:gridSpan w:val="2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Пропонується</w:t>
            </w:r>
          </w:p>
        </w:tc>
        <w:tc>
          <w:tcPr>
            <w:tcW w:w="2520" w:type="dxa"/>
            <w:gridSpan w:val="2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Відхилення +/-</w:t>
            </w:r>
          </w:p>
        </w:tc>
      </w:tr>
      <w:tr w:rsidR="003E6261" w:rsidTr="0052649F">
        <w:tc>
          <w:tcPr>
            <w:tcW w:w="1943" w:type="dxa"/>
          </w:tcPr>
          <w:p w:rsidR="003E6261" w:rsidRPr="00C36F92" w:rsidRDefault="003E6261" w:rsidP="002F0B48">
            <w:pPr>
              <w:rPr>
                <w:lang w:val="uk-UA"/>
              </w:rPr>
            </w:pPr>
          </w:p>
        </w:tc>
        <w:tc>
          <w:tcPr>
            <w:tcW w:w="1165" w:type="dxa"/>
          </w:tcPr>
          <w:p w:rsidR="003E6261" w:rsidRPr="00C36F92" w:rsidRDefault="003E6261" w:rsidP="002F0B48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96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</w:t>
            </w:r>
            <w:r w:rsidRPr="00C36F92">
              <w:rPr>
                <w:sz w:val="22"/>
                <w:szCs w:val="22"/>
                <w:lang w:val="en-US"/>
              </w:rPr>
              <w:t>V</w:t>
            </w:r>
            <w:r w:rsidRPr="00C36F92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120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  <w:tr w:rsidR="003E6261" w:rsidTr="0052649F">
        <w:tc>
          <w:tcPr>
            <w:tcW w:w="1943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Інші операційні доходи (районний, міський бюджет)</w:t>
            </w:r>
          </w:p>
        </w:tc>
        <w:tc>
          <w:tcPr>
            <w:tcW w:w="116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009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70,7</w:t>
            </w:r>
          </w:p>
        </w:tc>
        <w:tc>
          <w:tcPr>
            <w:tcW w:w="96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3E6261" w:rsidRPr="00C36F92" w:rsidRDefault="003E6261" w:rsidP="003301ED">
            <w:pPr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20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-41,6</w:t>
            </w: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  <w:tr w:rsidR="003E6261" w:rsidTr="0052649F">
        <w:tc>
          <w:tcPr>
            <w:tcW w:w="1943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Інші фінансові доходи (благодійні внески, гранти та дарунки в т.ч. гуманітарна допомога)</w:t>
            </w:r>
          </w:p>
        </w:tc>
        <w:tc>
          <w:tcPr>
            <w:tcW w:w="1165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012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96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0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-4,0</w:t>
            </w: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</w:t>
            </w:r>
          </w:p>
        </w:tc>
      </w:tr>
      <w:tr w:rsidR="003E6261" w:rsidTr="0052649F">
        <w:tc>
          <w:tcPr>
            <w:tcW w:w="1943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Дохід (виручка) від реалізації продукції (товарів, робіт, послуг) НСЗУ</w:t>
            </w:r>
          </w:p>
        </w:tc>
        <w:tc>
          <w:tcPr>
            <w:tcW w:w="1165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013/1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146,5</w:t>
            </w:r>
          </w:p>
        </w:tc>
        <w:tc>
          <w:tcPr>
            <w:tcW w:w="96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183,1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20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+36,6</w:t>
            </w: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  <w:tr w:rsidR="003E6261" w:rsidTr="0052649F">
        <w:tc>
          <w:tcPr>
            <w:tcW w:w="1943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Усього доходів</w:t>
            </w:r>
          </w:p>
        </w:tc>
        <w:tc>
          <w:tcPr>
            <w:tcW w:w="1165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012</w:t>
            </w:r>
          </w:p>
        </w:tc>
        <w:tc>
          <w:tcPr>
            <w:tcW w:w="108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222,2</w:t>
            </w:r>
          </w:p>
        </w:tc>
        <w:tc>
          <w:tcPr>
            <w:tcW w:w="96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213,2</w:t>
            </w:r>
          </w:p>
        </w:tc>
        <w:tc>
          <w:tcPr>
            <w:tcW w:w="1080" w:type="dxa"/>
          </w:tcPr>
          <w:p w:rsidR="003E6261" w:rsidRPr="00C36F92" w:rsidRDefault="003E6261" w:rsidP="003301ED">
            <w:pPr>
              <w:rPr>
                <w:lang w:val="uk-UA"/>
              </w:rPr>
            </w:pPr>
          </w:p>
        </w:tc>
        <w:tc>
          <w:tcPr>
            <w:tcW w:w="120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-9,00</w:t>
            </w:r>
          </w:p>
        </w:tc>
        <w:tc>
          <w:tcPr>
            <w:tcW w:w="132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</w:tbl>
    <w:p w:rsidR="003E6261" w:rsidRDefault="003E6261" w:rsidP="00DC077B">
      <w:pPr>
        <w:pStyle w:val="Heading4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 w:val="0"/>
          <w:bCs w:val="0"/>
          <w:spacing w:val="11"/>
          <w:sz w:val="28"/>
          <w:szCs w:val="28"/>
          <w:shd w:val="clear" w:color="auto" w:fill="FFFFFF"/>
        </w:rPr>
      </w:pPr>
    </w:p>
    <w:p w:rsidR="003E6261" w:rsidRPr="00477EC1" w:rsidRDefault="003E6261" w:rsidP="00C72F0F">
      <w:pPr>
        <w:shd w:val="clear" w:color="auto" w:fill="FFFFFF"/>
        <w:ind w:right="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Рядок 009</w:t>
      </w:r>
      <w:r w:rsidRPr="00477EC1">
        <w:rPr>
          <w:b/>
          <w:bCs/>
          <w:i/>
          <w:iCs/>
          <w:sz w:val="28"/>
          <w:szCs w:val="28"/>
          <w:lang w:val="uk-UA"/>
        </w:rPr>
        <w:t xml:space="preserve">  </w:t>
      </w:r>
      <w:r w:rsidRPr="00477EC1">
        <w:rPr>
          <w:i/>
          <w:iCs/>
          <w:sz w:val="28"/>
          <w:szCs w:val="28"/>
          <w:lang w:val="uk-UA"/>
        </w:rPr>
        <w:t xml:space="preserve">«Інші операційні доходи (районний, міський бюджет)» </w:t>
      </w:r>
      <w:r w:rsidRPr="00477EC1">
        <w:rPr>
          <w:sz w:val="28"/>
          <w:szCs w:val="28"/>
          <w:lang w:val="uk-UA"/>
        </w:rPr>
        <w:t>зменшується у</w:t>
      </w:r>
      <w:r>
        <w:rPr>
          <w:sz w:val="28"/>
          <w:szCs w:val="28"/>
          <w:lang w:val="uk-UA"/>
        </w:rPr>
        <w:t xml:space="preserve"> 3 кварталі на 41.6 тис.грн.</w:t>
      </w:r>
    </w:p>
    <w:p w:rsidR="003E6261" w:rsidRPr="00FD3146" w:rsidRDefault="003E6261" w:rsidP="00C72F0F">
      <w:pPr>
        <w:shd w:val="clear" w:color="auto" w:fill="FFFFFF"/>
        <w:ind w:right="57" w:firstLine="720"/>
        <w:jc w:val="both"/>
        <w:rPr>
          <w:sz w:val="28"/>
          <w:szCs w:val="28"/>
          <w:lang w:val="uk-UA"/>
        </w:rPr>
      </w:pPr>
    </w:p>
    <w:p w:rsidR="003E6261" w:rsidRPr="00330E04" w:rsidRDefault="003E6261" w:rsidP="00C05125">
      <w:pPr>
        <w:pStyle w:val="Heading1"/>
        <w:rPr>
          <w:rStyle w:val="Strong"/>
          <w:color w:val="auto"/>
        </w:rPr>
      </w:pPr>
      <w:r w:rsidRPr="00330E04">
        <w:rPr>
          <w:rStyle w:val="Strong"/>
          <w:i/>
          <w:iCs/>
          <w:color w:val="auto"/>
        </w:rPr>
        <w:t>Рядок 012 «Інші фінансові доходи</w:t>
      </w:r>
      <w:r w:rsidRPr="00330E04">
        <w:rPr>
          <w:rStyle w:val="Strong"/>
          <w:color w:val="auto"/>
        </w:rPr>
        <w:t xml:space="preserve"> (благодійні внески, гранти та дарунки в т.ч. гуманітарна допомога)» зменшується</w:t>
      </w:r>
      <w:r w:rsidRPr="00C05125">
        <w:rPr>
          <w:rStyle w:val="Strong"/>
          <w:color w:val="auto"/>
        </w:rPr>
        <w:t xml:space="preserve"> </w:t>
      </w:r>
      <w:r w:rsidRPr="00330E04">
        <w:rPr>
          <w:rStyle w:val="Strong"/>
          <w:color w:val="auto"/>
        </w:rPr>
        <w:t>на 4,0тис.грн.Не надійшли благодійні внески.</w:t>
      </w:r>
    </w:p>
    <w:p w:rsidR="003E6261" w:rsidRPr="00C05125" w:rsidRDefault="003E6261" w:rsidP="001D6184">
      <w:pPr>
        <w:widowControl w:val="0"/>
        <w:autoSpaceDE w:val="0"/>
        <w:autoSpaceDN w:val="0"/>
        <w:ind w:firstLine="709"/>
        <w:jc w:val="both"/>
        <w:rPr>
          <w:rStyle w:val="Strong"/>
        </w:rPr>
      </w:pPr>
    </w:p>
    <w:p w:rsidR="003E6261" w:rsidRPr="009E0F4B" w:rsidRDefault="003E6261" w:rsidP="001D618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Рядок013/</w:t>
      </w:r>
      <w:r w:rsidRPr="009E0F4B">
        <w:rPr>
          <w:i/>
          <w:iCs/>
          <w:sz w:val="28"/>
          <w:szCs w:val="28"/>
          <w:lang w:val="uk-UA"/>
        </w:rPr>
        <w:t>1 Кошти НСЗУ</w:t>
      </w:r>
      <w:r w:rsidRPr="009E0F4B">
        <w:rPr>
          <w:sz w:val="28"/>
          <w:szCs w:val="28"/>
          <w:lang w:val="uk-UA"/>
        </w:rPr>
        <w:t xml:space="preserve"> дохід збільшується в 3 к</w:t>
      </w:r>
      <w:r>
        <w:rPr>
          <w:sz w:val="28"/>
          <w:szCs w:val="28"/>
          <w:lang w:val="uk-UA"/>
        </w:rPr>
        <w:t xml:space="preserve">варталі на 36,6тис.грн </w:t>
      </w:r>
      <w:r w:rsidRPr="009E0F4B">
        <w:rPr>
          <w:sz w:val="28"/>
          <w:szCs w:val="28"/>
          <w:lang w:val="uk-UA"/>
        </w:rPr>
        <w:t xml:space="preserve"> збільшена оплата за надані стоматологічні послуги згідно з договором НСЗУ про медичне обслуговування населення за програмою медичних гарантій на 25%.Перерахунок зроблено по показниках 1 півріччя</w:t>
      </w:r>
      <w:r>
        <w:rPr>
          <w:sz w:val="28"/>
          <w:szCs w:val="28"/>
          <w:lang w:val="uk-UA"/>
        </w:rPr>
        <w:t xml:space="preserve"> надано більше</w:t>
      </w:r>
      <w:r w:rsidRPr="009E0F4B">
        <w:rPr>
          <w:sz w:val="28"/>
          <w:szCs w:val="28"/>
          <w:lang w:val="uk-UA"/>
        </w:rPr>
        <w:t xml:space="preserve"> медичних послуг.</w:t>
      </w:r>
    </w:p>
    <w:p w:rsidR="003E6261" w:rsidRDefault="003E6261" w:rsidP="0052649F">
      <w:pPr>
        <w:ind w:right="-50" w:firstLine="567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3E6261" w:rsidRDefault="003E6261" w:rsidP="0052649F">
      <w:pPr>
        <w:ind w:right="-50" w:firstLine="567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3E6261" w:rsidRPr="0052649F" w:rsidRDefault="003E6261" w:rsidP="0052649F">
      <w:pPr>
        <w:ind w:right="-50" w:firstLine="567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3E6261" w:rsidRDefault="003E6261" w:rsidP="00DC077B">
      <w:pPr>
        <w:ind w:right="57" w:firstLine="567"/>
        <w:jc w:val="center"/>
        <w:rPr>
          <w:b/>
          <w:bCs/>
          <w:i/>
          <w:iCs/>
          <w:sz w:val="28"/>
          <w:szCs w:val="28"/>
          <w:lang w:val="uk-UA"/>
        </w:rPr>
      </w:pPr>
      <w:r w:rsidRPr="00A452B2">
        <w:rPr>
          <w:b/>
          <w:bCs/>
          <w:i/>
          <w:iCs/>
          <w:sz w:val="28"/>
          <w:szCs w:val="28"/>
          <w:lang w:val="uk-UA"/>
        </w:rPr>
        <w:t xml:space="preserve">2. </w:t>
      </w:r>
      <w:r>
        <w:rPr>
          <w:b/>
          <w:bCs/>
          <w:i/>
          <w:iCs/>
          <w:sz w:val="28"/>
          <w:szCs w:val="28"/>
          <w:lang w:val="uk-UA"/>
        </w:rPr>
        <w:t>В</w:t>
      </w:r>
      <w:r w:rsidRPr="00A452B2">
        <w:rPr>
          <w:b/>
          <w:bCs/>
          <w:i/>
          <w:iCs/>
          <w:sz w:val="28"/>
          <w:szCs w:val="28"/>
          <w:lang w:val="uk-UA"/>
        </w:rPr>
        <w:t>итратн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 частин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Фінансового плану</w:t>
      </w:r>
    </w:p>
    <w:p w:rsidR="003E6261" w:rsidRPr="00DC077B" w:rsidRDefault="003E6261" w:rsidP="00A77B55">
      <w:pPr>
        <w:ind w:right="57" w:firstLine="567"/>
        <w:jc w:val="right"/>
        <w:rPr>
          <w:sz w:val="28"/>
          <w:szCs w:val="28"/>
          <w:lang w:val="uk-UA"/>
        </w:rPr>
      </w:pPr>
      <w:r w:rsidRPr="00DC077B">
        <w:rPr>
          <w:sz w:val="28"/>
          <w:szCs w:val="28"/>
          <w:lang w:val="uk-UA"/>
        </w:rPr>
        <w:t>тис.грн.</w:t>
      </w: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667"/>
        <w:gridCol w:w="1288"/>
        <w:gridCol w:w="765"/>
        <w:gridCol w:w="1786"/>
        <w:gridCol w:w="854"/>
        <w:gridCol w:w="1440"/>
        <w:gridCol w:w="1675"/>
      </w:tblGrid>
      <w:tr w:rsidR="003E6261" w:rsidTr="0052649F">
        <w:tc>
          <w:tcPr>
            <w:tcW w:w="1548" w:type="dxa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Показник фінансового плану</w:t>
            </w:r>
          </w:p>
        </w:tc>
        <w:tc>
          <w:tcPr>
            <w:tcW w:w="1667" w:type="dxa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Код рядка фінан-сового плану</w:t>
            </w:r>
          </w:p>
        </w:tc>
        <w:tc>
          <w:tcPr>
            <w:tcW w:w="2053" w:type="dxa"/>
            <w:gridSpan w:val="2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640" w:type="dxa"/>
            <w:gridSpan w:val="2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Пропонується</w:t>
            </w:r>
          </w:p>
        </w:tc>
        <w:tc>
          <w:tcPr>
            <w:tcW w:w="3115" w:type="dxa"/>
            <w:gridSpan w:val="2"/>
          </w:tcPr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3E6261" w:rsidRPr="00C36F92" w:rsidRDefault="003E6261" w:rsidP="00C36F92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C36F92">
              <w:rPr>
                <w:b/>
                <w:bCs/>
                <w:sz w:val="22"/>
                <w:szCs w:val="22"/>
                <w:lang w:val="uk-UA"/>
              </w:rPr>
              <w:t>Відхилення +/-</w:t>
            </w:r>
          </w:p>
        </w:tc>
      </w:tr>
      <w:tr w:rsidR="003E6261" w:rsidTr="0052649F">
        <w:tc>
          <w:tcPr>
            <w:tcW w:w="1548" w:type="dxa"/>
          </w:tcPr>
          <w:p w:rsidR="003E6261" w:rsidRPr="00C36F92" w:rsidRDefault="003E6261" w:rsidP="00AC7B2F">
            <w:pPr>
              <w:rPr>
                <w:lang w:val="uk-UA"/>
              </w:rPr>
            </w:pPr>
          </w:p>
        </w:tc>
        <w:tc>
          <w:tcPr>
            <w:tcW w:w="1667" w:type="dxa"/>
          </w:tcPr>
          <w:p w:rsidR="003E6261" w:rsidRPr="00C36F92" w:rsidRDefault="003E6261" w:rsidP="00AC7B2F">
            <w:pPr>
              <w:rPr>
                <w:lang w:val="uk-UA"/>
              </w:rPr>
            </w:pPr>
          </w:p>
        </w:tc>
        <w:tc>
          <w:tcPr>
            <w:tcW w:w="1288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76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786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854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67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  <w:tr w:rsidR="003E6261" w:rsidTr="0052649F">
        <w:tc>
          <w:tcPr>
            <w:tcW w:w="1548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Витрати на комунальні послуги</w:t>
            </w:r>
          </w:p>
        </w:tc>
        <w:tc>
          <w:tcPr>
            <w:tcW w:w="1667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013/2</w:t>
            </w:r>
          </w:p>
        </w:tc>
        <w:tc>
          <w:tcPr>
            <w:tcW w:w="1288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36,0</w:t>
            </w:r>
          </w:p>
        </w:tc>
        <w:tc>
          <w:tcPr>
            <w:tcW w:w="76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786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27,0</w:t>
            </w:r>
          </w:p>
        </w:tc>
        <w:tc>
          <w:tcPr>
            <w:tcW w:w="854" w:type="dxa"/>
          </w:tcPr>
          <w:p w:rsidR="003E6261" w:rsidRPr="00C36F92" w:rsidRDefault="003E6261" w:rsidP="00C5003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-9,0</w:t>
            </w:r>
          </w:p>
        </w:tc>
        <w:tc>
          <w:tcPr>
            <w:tcW w:w="167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  <w:tr w:rsidR="003E6261" w:rsidRPr="00F01407" w:rsidTr="0052649F">
        <w:tc>
          <w:tcPr>
            <w:tcW w:w="1548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67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288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76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786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3E6261" w:rsidRPr="00C36F92" w:rsidRDefault="003E6261" w:rsidP="00965E19">
            <w:pPr>
              <w:rPr>
                <w:lang w:val="uk-UA"/>
              </w:rPr>
            </w:pPr>
          </w:p>
        </w:tc>
        <w:tc>
          <w:tcPr>
            <w:tcW w:w="167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  <w:tr w:rsidR="003E6261" w:rsidTr="0052649F">
        <w:tc>
          <w:tcPr>
            <w:tcW w:w="1548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667" w:type="dxa"/>
          </w:tcPr>
          <w:p w:rsidR="003E6261" w:rsidRPr="00C36F92" w:rsidRDefault="003E6261" w:rsidP="00C36F92">
            <w:pPr>
              <w:ind w:right="57"/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022</w:t>
            </w:r>
          </w:p>
        </w:tc>
        <w:tc>
          <w:tcPr>
            <w:tcW w:w="1288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36,0</w:t>
            </w:r>
          </w:p>
        </w:tc>
        <w:tc>
          <w:tcPr>
            <w:tcW w:w="76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786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27,0</w:t>
            </w:r>
          </w:p>
        </w:tc>
        <w:tc>
          <w:tcPr>
            <w:tcW w:w="854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  <w:r w:rsidRPr="00C36F92">
              <w:rPr>
                <w:sz w:val="22"/>
                <w:szCs w:val="22"/>
                <w:lang w:val="uk-UA"/>
              </w:rPr>
              <w:t>-9,00</w:t>
            </w:r>
          </w:p>
        </w:tc>
        <w:tc>
          <w:tcPr>
            <w:tcW w:w="1675" w:type="dxa"/>
          </w:tcPr>
          <w:p w:rsidR="003E6261" w:rsidRPr="00C36F92" w:rsidRDefault="003E6261" w:rsidP="00C36F92">
            <w:pPr>
              <w:jc w:val="center"/>
              <w:rPr>
                <w:lang w:val="uk-UA"/>
              </w:rPr>
            </w:pPr>
          </w:p>
        </w:tc>
      </w:tr>
    </w:tbl>
    <w:p w:rsidR="003E6261" w:rsidRPr="00683A4B" w:rsidRDefault="003E6261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color w:val="FF0000"/>
          <w:sz w:val="28"/>
          <w:szCs w:val="28"/>
          <w:lang w:val="ru-RU"/>
        </w:rPr>
      </w:pPr>
    </w:p>
    <w:p w:rsidR="003E6261" w:rsidRDefault="003E6261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</w:p>
    <w:p w:rsidR="003E6261" w:rsidRDefault="003E6261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</w:p>
    <w:p w:rsidR="003E6261" w:rsidRDefault="003E6261" w:rsidP="00683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Рядок 013/2</w:t>
      </w:r>
      <w:r w:rsidRPr="007634E9">
        <w:rPr>
          <w:sz w:val="28"/>
          <w:szCs w:val="28"/>
          <w:lang w:val="uk-UA"/>
        </w:rPr>
        <w:t xml:space="preserve"> </w:t>
      </w:r>
      <w:r w:rsidRPr="007634E9">
        <w:rPr>
          <w:i/>
          <w:iCs/>
          <w:sz w:val="28"/>
          <w:szCs w:val="28"/>
          <w:lang w:val="uk-UA"/>
        </w:rPr>
        <w:t>«Оплата комунальних послуг та енергоносіїв»</w:t>
      </w:r>
      <w:r>
        <w:rPr>
          <w:sz w:val="28"/>
          <w:szCs w:val="28"/>
          <w:lang w:val="uk-UA"/>
        </w:rPr>
        <w:t xml:space="preserve"> в 3 кварталі зменшується витрати на 9,0тис.грн  за рахунок економії коштів на енергоносії в літній період.</w:t>
      </w:r>
    </w:p>
    <w:p w:rsidR="003E6261" w:rsidRDefault="003E6261" w:rsidP="00683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6261" w:rsidRDefault="003E6261" w:rsidP="00335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3E6261" w:rsidRDefault="003E6261">
      <w:pPr>
        <w:rPr>
          <w:lang w:val="uk-UA"/>
        </w:rPr>
      </w:pPr>
    </w:p>
    <w:p w:rsidR="003E6261" w:rsidRDefault="003E6261">
      <w:pPr>
        <w:rPr>
          <w:lang w:val="uk-UA"/>
        </w:rPr>
      </w:pPr>
    </w:p>
    <w:p w:rsidR="003E6261" w:rsidRDefault="003E6261" w:rsidP="00290E9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Директор                                                 Іван   ВЕРЕТИК</w:t>
      </w:r>
    </w:p>
    <w:p w:rsidR="003E6261" w:rsidRDefault="003E6261" w:rsidP="00927918">
      <w:pPr>
        <w:jc w:val="center"/>
        <w:rPr>
          <w:b/>
          <w:bCs/>
          <w:sz w:val="28"/>
          <w:szCs w:val="28"/>
          <w:lang w:val="uk-UA"/>
        </w:rPr>
      </w:pPr>
    </w:p>
    <w:p w:rsidR="003E6261" w:rsidRDefault="003E6261" w:rsidP="00927918">
      <w:pPr>
        <w:jc w:val="center"/>
        <w:rPr>
          <w:b/>
          <w:bCs/>
          <w:sz w:val="28"/>
          <w:szCs w:val="28"/>
          <w:lang w:val="uk-UA"/>
        </w:rPr>
      </w:pPr>
    </w:p>
    <w:p w:rsidR="003E6261" w:rsidRPr="00927918" w:rsidRDefault="003E6261" w:rsidP="0092791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Головний бухгалтер                             Ірина ГОНОРСЬКА</w:t>
      </w:r>
    </w:p>
    <w:p w:rsidR="003E6261" w:rsidRPr="00927918" w:rsidRDefault="003E6261">
      <w:pPr>
        <w:rPr>
          <w:b/>
          <w:bCs/>
          <w:sz w:val="28"/>
          <w:szCs w:val="28"/>
          <w:lang w:val="uk-UA"/>
        </w:rPr>
      </w:pPr>
    </w:p>
    <w:sectPr w:rsidR="003E6261" w:rsidRPr="00927918" w:rsidSect="0052649F">
      <w:pgSz w:w="11906" w:h="16838"/>
      <w:pgMar w:top="426" w:right="850" w:bottom="1079" w:left="1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61" w:rsidRDefault="003E6261">
      <w:r>
        <w:separator/>
      </w:r>
    </w:p>
  </w:endnote>
  <w:endnote w:type="continuationSeparator" w:id="0">
    <w:p w:rsidR="003E6261" w:rsidRDefault="003E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61" w:rsidRDefault="003E6261">
      <w:r>
        <w:separator/>
      </w:r>
    </w:p>
  </w:footnote>
  <w:footnote w:type="continuationSeparator" w:id="0">
    <w:p w:rsidR="003E6261" w:rsidRDefault="003E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CCA"/>
    <w:multiLevelType w:val="hybridMultilevel"/>
    <w:tmpl w:val="69BA820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48"/>
    <w:rsid w:val="0002606A"/>
    <w:rsid w:val="00037D3D"/>
    <w:rsid w:val="000B2AF5"/>
    <w:rsid w:val="00147D0A"/>
    <w:rsid w:val="0015383D"/>
    <w:rsid w:val="001A400B"/>
    <w:rsid w:val="001A5A13"/>
    <w:rsid w:val="001D4CE7"/>
    <w:rsid w:val="001D6184"/>
    <w:rsid w:val="001F040E"/>
    <w:rsid w:val="00244410"/>
    <w:rsid w:val="00253ED3"/>
    <w:rsid w:val="00290E9F"/>
    <w:rsid w:val="002E6268"/>
    <w:rsid w:val="002F0B48"/>
    <w:rsid w:val="002F2A5F"/>
    <w:rsid w:val="003301ED"/>
    <w:rsid w:val="00330E04"/>
    <w:rsid w:val="00333CBD"/>
    <w:rsid w:val="00335C2E"/>
    <w:rsid w:val="00341560"/>
    <w:rsid w:val="00361936"/>
    <w:rsid w:val="003C3833"/>
    <w:rsid w:val="003C7E54"/>
    <w:rsid w:val="003E6261"/>
    <w:rsid w:val="0040496A"/>
    <w:rsid w:val="00415BF3"/>
    <w:rsid w:val="00426F31"/>
    <w:rsid w:val="00477EC1"/>
    <w:rsid w:val="00482EB5"/>
    <w:rsid w:val="004854B1"/>
    <w:rsid w:val="004962A2"/>
    <w:rsid w:val="00497ECC"/>
    <w:rsid w:val="004D3C79"/>
    <w:rsid w:val="005112CC"/>
    <w:rsid w:val="0052649F"/>
    <w:rsid w:val="00526AC4"/>
    <w:rsid w:val="00567F32"/>
    <w:rsid w:val="00573714"/>
    <w:rsid w:val="005F6E63"/>
    <w:rsid w:val="00626C83"/>
    <w:rsid w:val="00683A4B"/>
    <w:rsid w:val="006F22D5"/>
    <w:rsid w:val="00724337"/>
    <w:rsid w:val="007634E9"/>
    <w:rsid w:val="0077143B"/>
    <w:rsid w:val="007E1D2D"/>
    <w:rsid w:val="0082717C"/>
    <w:rsid w:val="00847291"/>
    <w:rsid w:val="00887284"/>
    <w:rsid w:val="009076FB"/>
    <w:rsid w:val="00916D71"/>
    <w:rsid w:val="00927918"/>
    <w:rsid w:val="00933ECB"/>
    <w:rsid w:val="00941B64"/>
    <w:rsid w:val="00964ED3"/>
    <w:rsid w:val="00965E19"/>
    <w:rsid w:val="00976205"/>
    <w:rsid w:val="009A3B1D"/>
    <w:rsid w:val="009D0A87"/>
    <w:rsid w:val="009E0F4B"/>
    <w:rsid w:val="00A452B2"/>
    <w:rsid w:val="00A77B55"/>
    <w:rsid w:val="00A936FD"/>
    <w:rsid w:val="00A9749C"/>
    <w:rsid w:val="00AC7B2F"/>
    <w:rsid w:val="00AD1B84"/>
    <w:rsid w:val="00B01E11"/>
    <w:rsid w:val="00B3210E"/>
    <w:rsid w:val="00B82D70"/>
    <w:rsid w:val="00BA42AF"/>
    <w:rsid w:val="00BE5B48"/>
    <w:rsid w:val="00C05125"/>
    <w:rsid w:val="00C17E16"/>
    <w:rsid w:val="00C21B11"/>
    <w:rsid w:val="00C353C3"/>
    <w:rsid w:val="00C36F92"/>
    <w:rsid w:val="00C50030"/>
    <w:rsid w:val="00C54BED"/>
    <w:rsid w:val="00C72F0F"/>
    <w:rsid w:val="00CF09AA"/>
    <w:rsid w:val="00D02066"/>
    <w:rsid w:val="00D02AB6"/>
    <w:rsid w:val="00D27122"/>
    <w:rsid w:val="00D82D2D"/>
    <w:rsid w:val="00DA5571"/>
    <w:rsid w:val="00DC077B"/>
    <w:rsid w:val="00DC5DE0"/>
    <w:rsid w:val="00E05E42"/>
    <w:rsid w:val="00E05FC4"/>
    <w:rsid w:val="00E659B3"/>
    <w:rsid w:val="00E67626"/>
    <w:rsid w:val="00E72DD8"/>
    <w:rsid w:val="00E76647"/>
    <w:rsid w:val="00E83E54"/>
    <w:rsid w:val="00E86027"/>
    <w:rsid w:val="00ED3BB2"/>
    <w:rsid w:val="00EF43B4"/>
    <w:rsid w:val="00EF6F51"/>
    <w:rsid w:val="00F01407"/>
    <w:rsid w:val="00F06F93"/>
    <w:rsid w:val="00F2224F"/>
    <w:rsid w:val="00F25D65"/>
    <w:rsid w:val="00F3291E"/>
    <w:rsid w:val="00F57979"/>
    <w:rsid w:val="00F86B12"/>
    <w:rsid w:val="00FB37B8"/>
    <w:rsid w:val="00FD3146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1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DC077B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12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77B"/>
    <w:rPr>
      <w:rFonts w:ascii="Times New Roman" w:hAnsi="Times New Roman" w:cs="Times New Roman"/>
      <w:b/>
      <w:bCs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2F0B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05125"/>
    <w:rPr>
      <w:b/>
      <w:bCs/>
    </w:rPr>
  </w:style>
  <w:style w:type="paragraph" w:styleId="Header">
    <w:name w:val="header"/>
    <w:basedOn w:val="Normal"/>
    <w:link w:val="HeaderChar"/>
    <w:uiPriority w:val="99"/>
    <w:rsid w:val="005264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BB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64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336</Words>
  <Characters>1917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Пояснювальна записка до проекту змін до Фінансового плану Комунального некомерційного підприємства «Чортківської міської стоматологічної поліклініки» Чортківської міської ради  ІІІ квартали на 2021 рік</dc:title>
  <dc:subject/>
  <dc:creator>user</dc:creator>
  <cp:keywords/>
  <dc:description/>
  <cp:lastModifiedBy>vit</cp:lastModifiedBy>
  <cp:revision>3</cp:revision>
  <cp:lastPrinted>2021-11-25T09:34:00Z</cp:lastPrinted>
  <dcterms:created xsi:type="dcterms:W3CDTF">2021-11-23T08:50:00Z</dcterms:created>
  <dcterms:modified xsi:type="dcterms:W3CDTF">2021-11-25T09:36:00Z</dcterms:modified>
</cp:coreProperties>
</file>