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F8F5" w14:textId="77777777" w:rsidR="00C6274B" w:rsidRPr="00C6274B" w:rsidRDefault="00C6274B" w:rsidP="00C6274B">
      <w:pPr>
        <w:widowControl w:val="0"/>
        <w:tabs>
          <w:tab w:val="left" w:pos="16158"/>
          <w:tab w:val="center" w:pos="20838"/>
        </w:tabs>
        <w:suppressAutoHyphens/>
        <w:autoSpaceDN w:val="0"/>
        <w:spacing w:after="0" w:line="240" w:lineRule="auto"/>
        <w:ind w:firstLine="5387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C6274B">
        <w:rPr>
          <w:rFonts w:ascii="Times New Roman" w:eastAsia="Segoe UI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>Додаток</w:t>
      </w:r>
    </w:p>
    <w:p w14:paraId="3A62ACD1" w14:textId="77777777" w:rsidR="00C6274B" w:rsidRPr="00C6274B" w:rsidRDefault="00C6274B" w:rsidP="00C6274B">
      <w:pPr>
        <w:widowControl w:val="0"/>
        <w:tabs>
          <w:tab w:val="left" w:pos="16158"/>
          <w:tab w:val="left" w:pos="19713"/>
        </w:tabs>
        <w:suppressAutoHyphens/>
        <w:autoSpaceDN w:val="0"/>
        <w:spacing w:after="0" w:line="240" w:lineRule="auto"/>
        <w:ind w:left="5386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C6274B">
        <w:rPr>
          <w:rFonts w:ascii="Times New Roman" w:eastAsia="Segoe UI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>до рішення міської ради</w:t>
      </w:r>
    </w:p>
    <w:p w14:paraId="768C9149" w14:textId="77777777" w:rsidR="00C6274B" w:rsidRPr="00C6274B" w:rsidRDefault="00C6274B" w:rsidP="00C6274B">
      <w:pPr>
        <w:widowControl w:val="0"/>
        <w:tabs>
          <w:tab w:val="left" w:pos="16158"/>
          <w:tab w:val="left" w:pos="19713"/>
        </w:tabs>
        <w:suppressAutoHyphens/>
        <w:autoSpaceDN w:val="0"/>
        <w:spacing w:after="0" w:line="240" w:lineRule="auto"/>
        <w:ind w:left="5386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C6274B">
        <w:rPr>
          <w:rFonts w:ascii="Times New Roman" w:eastAsia="Segoe UI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>від “___” ________ 2023 року №</w:t>
      </w:r>
    </w:p>
    <w:p w14:paraId="7126D3F6" w14:textId="77777777" w:rsidR="008F3CFF" w:rsidRDefault="008F3CFF" w:rsidP="00C6274B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0749C4FF" w14:textId="52513BB6" w:rsidR="00BF63D8" w:rsidRPr="00C6274B" w:rsidRDefault="00D826A5" w:rsidP="00B21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74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6274B">
        <w:rPr>
          <w:rFonts w:ascii="Times New Roman" w:hAnsi="Times New Roman" w:cs="Times New Roman"/>
          <w:b/>
          <w:bCs/>
          <w:sz w:val="28"/>
          <w:szCs w:val="28"/>
        </w:rPr>
        <w:t xml:space="preserve">ехніко-економічне </w:t>
      </w:r>
      <w:proofErr w:type="spellStart"/>
      <w:r w:rsidR="00C6274B">
        <w:rPr>
          <w:rFonts w:ascii="Times New Roman" w:hAnsi="Times New Roman" w:cs="Times New Roman"/>
          <w:b/>
          <w:bCs/>
          <w:sz w:val="28"/>
          <w:szCs w:val="28"/>
        </w:rPr>
        <w:t>обгрунтування</w:t>
      </w:r>
      <w:proofErr w:type="spellEnd"/>
    </w:p>
    <w:p w14:paraId="3860BB50" w14:textId="77228710" w:rsidR="00D826A5" w:rsidRPr="00B214FE" w:rsidRDefault="00D826A5" w:rsidP="00B21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FE">
        <w:rPr>
          <w:rFonts w:ascii="Times New Roman" w:hAnsi="Times New Roman" w:cs="Times New Roman"/>
          <w:b/>
          <w:bCs/>
          <w:sz w:val="28"/>
          <w:szCs w:val="28"/>
        </w:rPr>
        <w:t xml:space="preserve">доцільності передачі </w:t>
      </w:r>
      <w:r w:rsidR="00A87BFC" w:rsidRPr="00B214F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комплексу </w:t>
      </w:r>
      <w:r w:rsidRPr="00B214FE">
        <w:rPr>
          <w:rFonts w:ascii="Times New Roman" w:hAnsi="Times New Roman" w:cs="Times New Roman"/>
          <w:b/>
          <w:bCs/>
          <w:sz w:val="28"/>
          <w:szCs w:val="28"/>
        </w:rPr>
        <w:t xml:space="preserve">нерухомого майна, що належить Державі в особі дочірнього підприємства «Тернопільський </w:t>
      </w:r>
      <w:proofErr w:type="spellStart"/>
      <w:r w:rsidRPr="00B214FE">
        <w:rPr>
          <w:rFonts w:ascii="Times New Roman" w:hAnsi="Times New Roman" w:cs="Times New Roman"/>
          <w:b/>
          <w:bCs/>
          <w:sz w:val="28"/>
          <w:szCs w:val="28"/>
        </w:rPr>
        <w:t>облавтодор</w:t>
      </w:r>
      <w:proofErr w:type="spellEnd"/>
      <w:r w:rsidRPr="00B214FE">
        <w:rPr>
          <w:rFonts w:ascii="Times New Roman" w:hAnsi="Times New Roman" w:cs="Times New Roman"/>
          <w:b/>
          <w:bCs/>
          <w:sz w:val="28"/>
          <w:szCs w:val="28"/>
        </w:rPr>
        <w:t>» відкритого акціонерного товариства «Державна акціонерна компанія «</w:t>
      </w:r>
      <w:r w:rsidR="00BF63D8" w:rsidRPr="00B214F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14FE">
        <w:rPr>
          <w:rFonts w:ascii="Times New Roman" w:hAnsi="Times New Roman" w:cs="Times New Roman"/>
          <w:b/>
          <w:bCs/>
          <w:sz w:val="28"/>
          <w:szCs w:val="28"/>
        </w:rPr>
        <w:t xml:space="preserve">втомобільні дороги України» у комунальну власність Чортківської </w:t>
      </w:r>
      <w:r w:rsidR="00C6274B" w:rsidRPr="00B214FE">
        <w:rPr>
          <w:rFonts w:ascii="Times New Roman" w:hAnsi="Times New Roman" w:cs="Times New Roman"/>
          <w:b/>
          <w:bCs/>
          <w:sz w:val="28"/>
          <w:szCs w:val="28"/>
        </w:rPr>
        <w:t xml:space="preserve">міської </w:t>
      </w:r>
      <w:r w:rsidRPr="00B214FE">
        <w:rPr>
          <w:rFonts w:ascii="Times New Roman" w:hAnsi="Times New Roman" w:cs="Times New Roman"/>
          <w:b/>
          <w:bCs/>
          <w:sz w:val="28"/>
          <w:szCs w:val="28"/>
        </w:rPr>
        <w:t>територіальної громади.</w:t>
      </w:r>
    </w:p>
    <w:p w14:paraId="1156DD93" w14:textId="77777777" w:rsidR="00B214FE" w:rsidRPr="00B214FE" w:rsidRDefault="00B214FE" w:rsidP="00B214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0C5C5" w14:textId="5E5687AB" w:rsidR="004251A6" w:rsidRPr="008F3CFF" w:rsidRDefault="004251A6" w:rsidP="008F3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Це техніко-економічне обґрунтування розроблено на виконання вимог Закону України «Про передачу об’єктів права державної та комунальної власності» та відповідно до Методичних рекомендацій щодо розроблення техніко-економічного обґрунтування забезпечення ефективного використання об'єктів права державної та комунальної власності, що пропонуються до передачі, затверджених наказом Міністерства економічного розвитку і торгівлі України від 27.12.2013 № 1591.</w:t>
      </w:r>
    </w:p>
    <w:p w14:paraId="7A94A591" w14:textId="77777777" w:rsidR="002B50A0" w:rsidRPr="008F3CFF" w:rsidRDefault="002B50A0" w:rsidP="008F3CFF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n59"/>
      <w:bookmarkEnd w:id="0"/>
      <w:r w:rsidRPr="008F3CFF">
        <w:rPr>
          <w:rFonts w:ascii="Times New Roman" w:hAnsi="Times New Roman" w:cs="Times New Roman"/>
          <w:sz w:val="28"/>
          <w:szCs w:val="28"/>
        </w:rPr>
        <w:t>Загальна характеристика об'єкта передачі:</w:t>
      </w:r>
    </w:p>
    <w:p w14:paraId="33E93FC4" w14:textId="1E32B435" w:rsidR="002B50A0" w:rsidRPr="008F3CFF" w:rsidRDefault="005611C0" w:rsidP="008F3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Виробничо-лабораторний комплекс -375,8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0A0" w:rsidRPr="008F3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B50A0" w:rsidRPr="008F3C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2F4339" w14:textId="16907AB4" w:rsidR="005611C0" w:rsidRPr="008F3CFF" w:rsidRDefault="005611C0" w:rsidP="008F3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Ремонтна майстерня – 1179,8кв.м;</w:t>
      </w:r>
    </w:p>
    <w:p w14:paraId="7001E4ED" w14:textId="7282D913" w:rsidR="005611C0" w:rsidRPr="008F3CFF" w:rsidRDefault="005611C0" w:rsidP="008F3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Матеріально технічний склад-340,0 </w:t>
      </w:r>
      <w:proofErr w:type="spellStart"/>
      <w:r w:rsidRPr="008F3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3CFF">
        <w:rPr>
          <w:rFonts w:ascii="Times New Roman" w:hAnsi="Times New Roman" w:cs="Times New Roman"/>
          <w:sz w:val="28"/>
          <w:szCs w:val="28"/>
        </w:rPr>
        <w:t>;</w:t>
      </w:r>
    </w:p>
    <w:p w14:paraId="189078D2" w14:textId="67638A4F" w:rsidR="005611C0" w:rsidRPr="008F3CFF" w:rsidRDefault="005611C0" w:rsidP="008F3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CFF">
        <w:rPr>
          <w:rFonts w:ascii="Times New Roman" w:hAnsi="Times New Roman" w:cs="Times New Roman"/>
          <w:sz w:val="28"/>
          <w:szCs w:val="28"/>
        </w:rPr>
        <w:t>Запровочний</w:t>
      </w:r>
      <w:proofErr w:type="spellEnd"/>
      <w:r w:rsidRPr="008F3CFF">
        <w:rPr>
          <w:rFonts w:ascii="Times New Roman" w:hAnsi="Times New Roman" w:cs="Times New Roman"/>
          <w:sz w:val="28"/>
          <w:szCs w:val="28"/>
        </w:rPr>
        <w:t xml:space="preserve"> пункт – 44,9кв.м;</w:t>
      </w:r>
    </w:p>
    <w:p w14:paraId="41D7950A" w14:textId="4A7E65DD" w:rsidR="005611C0" w:rsidRPr="008F3CFF" w:rsidRDefault="005611C0" w:rsidP="008F3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Прохідна -28,9кв.м;</w:t>
      </w:r>
    </w:p>
    <w:p w14:paraId="787F69FB" w14:textId="736A1D73" w:rsidR="005611C0" w:rsidRPr="008F3CFF" w:rsidRDefault="005611C0" w:rsidP="008F3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Трансформаторна підстанція – 51,5кв.м;</w:t>
      </w:r>
    </w:p>
    <w:p w14:paraId="08AFB9B2" w14:textId="4C319186" w:rsidR="005611C0" w:rsidRPr="008F3CFF" w:rsidRDefault="005611C0" w:rsidP="008F3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Інші допоміжні приміщення – 425,6кв.м.</w:t>
      </w:r>
    </w:p>
    <w:p w14:paraId="31A96463" w14:textId="3E88CF06" w:rsidR="002B50A0" w:rsidRPr="008F3CFF" w:rsidRDefault="002849AD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8.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Будівля знаходиться за </w:t>
      </w:r>
      <w:proofErr w:type="spellStart"/>
      <w:r w:rsidR="002B50A0" w:rsidRPr="008F3CF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B50A0" w:rsidRPr="008F3CFF">
        <w:rPr>
          <w:rFonts w:ascii="Times New Roman" w:hAnsi="Times New Roman" w:cs="Times New Roman"/>
          <w:sz w:val="28"/>
          <w:szCs w:val="28"/>
        </w:rPr>
        <w:t xml:space="preserve">: вул. </w:t>
      </w:r>
      <w:r w:rsidRPr="008F3CFF">
        <w:rPr>
          <w:rFonts w:ascii="Times New Roman" w:hAnsi="Times New Roman" w:cs="Times New Roman"/>
          <w:sz w:val="28"/>
          <w:szCs w:val="28"/>
        </w:rPr>
        <w:t>Заводська,2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 м. </w:t>
      </w:r>
      <w:r w:rsidRPr="008F3CFF">
        <w:rPr>
          <w:rFonts w:ascii="Times New Roman" w:hAnsi="Times New Roman" w:cs="Times New Roman"/>
          <w:sz w:val="28"/>
          <w:szCs w:val="28"/>
        </w:rPr>
        <w:t>Чортків Тернопільської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8F3CFF">
        <w:rPr>
          <w:rFonts w:ascii="Times New Roman" w:hAnsi="Times New Roman" w:cs="Times New Roman"/>
          <w:sz w:val="28"/>
          <w:szCs w:val="28"/>
        </w:rPr>
        <w:t>і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C1C84" w14:textId="61CAB814" w:rsidR="002B50A0" w:rsidRPr="008F3CFF" w:rsidRDefault="002849AD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9.</w:t>
      </w:r>
      <w:r w:rsidR="002B50A0" w:rsidRPr="008F3CFF">
        <w:rPr>
          <w:rFonts w:ascii="Times New Roman" w:hAnsi="Times New Roman" w:cs="Times New Roman"/>
          <w:sz w:val="28"/>
          <w:szCs w:val="28"/>
        </w:rPr>
        <w:t>Балансоутримувачем будівлі є</w:t>
      </w:r>
      <w:r w:rsidRPr="008F3CFF">
        <w:rPr>
          <w:rFonts w:ascii="Times New Roman" w:hAnsi="Times New Roman" w:cs="Times New Roman"/>
          <w:sz w:val="28"/>
          <w:szCs w:val="28"/>
        </w:rPr>
        <w:t xml:space="preserve"> - 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 </w:t>
      </w:r>
      <w:r w:rsidRPr="008F3CFF">
        <w:rPr>
          <w:rFonts w:ascii="Times New Roman" w:hAnsi="Times New Roman" w:cs="Times New Roman"/>
          <w:sz w:val="28"/>
          <w:szCs w:val="28"/>
        </w:rPr>
        <w:t>Філія «Заліщицька Дорожня Експлуатаційна Дільниця» код ЄДРПОУ - 33680377</w:t>
      </w:r>
      <w:r w:rsidR="002B50A0" w:rsidRPr="008F3CFF">
        <w:rPr>
          <w:rFonts w:ascii="Times New Roman" w:hAnsi="Times New Roman" w:cs="Times New Roman"/>
          <w:sz w:val="28"/>
          <w:szCs w:val="28"/>
        </w:rPr>
        <w:t>.</w:t>
      </w:r>
    </w:p>
    <w:p w14:paraId="58B7DFDC" w14:textId="5B8393D2" w:rsidR="002B50A0" w:rsidRPr="008F3CFF" w:rsidRDefault="002B50A0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</w:t>
      </w:r>
      <w:r w:rsidR="002849AD" w:rsidRPr="008F3CFF">
        <w:rPr>
          <w:rFonts w:ascii="Times New Roman" w:hAnsi="Times New Roman" w:cs="Times New Roman"/>
          <w:sz w:val="28"/>
          <w:szCs w:val="28"/>
        </w:rPr>
        <w:t>10.</w:t>
      </w:r>
      <w:r w:rsidRPr="008F3CFF">
        <w:rPr>
          <w:rFonts w:ascii="Times New Roman" w:hAnsi="Times New Roman" w:cs="Times New Roman"/>
          <w:sz w:val="28"/>
          <w:szCs w:val="28"/>
        </w:rPr>
        <w:t xml:space="preserve">Форма власності – державна 1/1. </w:t>
      </w:r>
    </w:p>
    <w:p w14:paraId="0FDBF9C4" w14:textId="2DD9F75A" w:rsidR="002B50A0" w:rsidRPr="008F3CFF" w:rsidRDefault="002849AD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11.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Орган управління – </w:t>
      </w:r>
      <w:r w:rsidRPr="008F3CFF">
        <w:rPr>
          <w:rFonts w:ascii="Times New Roman" w:hAnsi="Times New Roman" w:cs="Times New Roman"/>
          <w:sz w:val="28"/>
          <w:szCs w:val="28"/>
        </w:rPr>
        <w:t xml:space="preserve">Відкрите Акціонерне Товариство «Державна Акціонерна Компанія «Автомобільні Дороги України»» Код ЄДРПОУ - </w:t>
      </w:r>
      <w:r w:rsidR="00892385" w:rsidRPr="008F3CFF">
        <w:rPr>
          <w:rFonts w:ascii="Times New Roman" w:hAnsi="Times New Roman" w:cs="Times New Roman"/>
          <w:sz w:val="28"/>
          <w:szCs w:val="28"/>
        </w:rPr>
        <w:t>31995099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6D5D1" w14:textId="06A2D552" w:rsidR="004A4BB7" w:rsidRPr="008F3CFF" w:rsidRDefault="002849AD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12.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Будівля розташована на земельній ділянці площею </w:t>
      </w:r>
      <w:r w:rsidR="00892385" w:rsidRPr="008F3CFF">
        <w:rPr>
          <w:rFonts w:ascii="Times New Roman" w:hAnsi="Times New Roman" w:cs="Times New Roman"/>
          <w:sz w:val="28"/>
          <w:szCs w:val="28"/>
        </w:rPr>
        <w:t>1,113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га (кадастровий номер </w:t>
      </w:r>
      <w:r w:rsidR="00892385" w:rsidRPr="008F3CFF">
        <w:rPr>
          <w:rFonts w:ascii="Times New Roman" w:hAnsi="Times New Roman" w:cs="Times New Roman"/>
          <w:sz w:val="28"/>
          <w:szCs w:val="28"/>
        </w:rPr>
        <w:t>6125510100:01:015:0385</w:t>
      </w:r>
      <w:r w:rsidR="002B50A0" w:rsidRPr="008F3CFF">
        <w:rPr>
          <w:rFonts w:ascii="Times New Roman" w:hAnsi="Times New Roman" w:cs="Times New Roman"/>
          <w:sz w:val="28"/>
          <w:szCs w:val="28"/>
        </w:rPr>
        <w:t>)</w:t>
      </w:r>
      <w:r w:rsidR="00892385" w:rsidRPr="008F3CFF">
        <w:rPr>
          <w:rFonts w:ascii="Times New Roman" w:hAnsi="Times New Roman" w:cs="Times New Roman"/>
          <w:sz w:val="28"/>
          <w:szCs w:val="28"/>
        </w:rPr>
        <w:t>, власник -</w:t>
      </w:r>
      <w:r w:rsidR="00976608" w:rsidRPr="008F3CFF">
        <w:rPr>
          <w:rFonts w:ascii="Times New Roman" w:hAnsi="Times New Roman" w:cs="Times New Roman"/>
          <w:sz w:val="28"/>
          <w:szCs w:val="28"/>
        </w:rPr>
        <w:t xml:space="preserve"> </w:t>
      </w:r>
      <w:r w:rsidR="00EF5880" w:rsidRPr="008F3CFF">
        <w:rPr>
          <w:rFonts w:ascii="Times New Roman" w:hAnsi="Times New Roman" w:cs="Times New Roman"/>
          <w:sz w:val="28"/>
          <w:szCs w:val="28"/>
        </w:rPr>
        <w:t>Тернопільська Обласна Державна Адміністрація, код ЄДРПОУ-00022622</w:t>
      </w:r>
      <w:r w:rsidR="002B50A0" w:rsidRPr="008F3CFF">
        <w:rPr>
          <w:rFonts w:ascii="Times New Roman" w:hAnsi="Times New Roman" w:cs="Times New Roman"/>
          <w:sz w:val="28"/>
          <w:szCs w:val="28"/>
        </w:rPr>
        <w:t>.</w:t>
      </w:r>
    </w:p>
    <w:p w14:paraId="1A7476A2" w14:textId="77777777" w:rsidR="004A4BB7" w:rsidRPr="008F3CFF" w:rsidRDefault="004A4BB7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7A57BB3D" w14:textId="53225AA2" w:rsidR="004251A6" w:rsidRPr="008F3CFF" w:rsidRDefault="001A17A8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1.</w:t>
      </w:r>
      <w:r w:rsidR="002B50A0" w:rsidRPr="008F3CFF">
        <w:rPr>
          <w:rFonts w:ascii="Times New Roman" w:hAnsi="Times New Roman" w:cs="Times New Roman"/>
          <w:sz w:val="28"/>
          <w:szCs w:val="28"/>
        </w:rPr>
        <w:t xml:space="preserve"> Обґрунтування доцільності здійснення зазначеної передачі</w:t>
      </w:r>
    </w:p>
    <w:p w14:paraId="3D3094FE" w14:textId="77777777" w:rsidR="00976608" w:rsidRPr="008F3CFF" w:rsidRDefault="00976608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43508" w14:textId="3CDA81DB" w:rsidR="002043B4" w:rsidRPr="008F3CFF" w:rsidRDefault="00976608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 w:rsidR="00A87BFC" w:rsidRPr="008F3CFF">
        <w:rPr>
          <w:rFonts w:ascii="Times New Roman" w:hAnsi="Times New Roman" w:cs="Times New Roman"/>
          <w:sz w:val="28"/>
          <w:szCs w:val="28"/>
        </w:rPr>
        <w:t xml:space="preserve">передачі комплексу </w:t>
      </w:r>
      <w:r w:rsidRPr="008F3CFF">
        <w:rPr>
          <w:rFonts w:ascii="Times New Roman" w:hAnsi="Times New Roman" w:cs="Times New Roman"/>
          <w:sz w:val="28"/>
          <w:szCs w:val="28"/>
        </w:rPr>
        <w:t xml:space="preserve"> нерухомого майна з державної власності у власність Чортківської міської територіальної громади</w:t>
      </w:r>
      <w:r w:rsidR="00AF6CEC" w:rsidRPr="008F3CFF">
        <w:rPr>
          <w:rFonts w:ascii="Times New Roman" w:hAnsi="Times New Roman" w:cs="Times New Roman"/>
          <w:sz w:val="28"/>
          <w:szCs w:val="28"/>
        </w:rPr>
        <w:t>,</w:t>
      </w:r>
      <w:r w:rsidRPr="008F3CFF">
        <w:rPr>
          <w:rFonts w:ascii="Times New Roman" w:hAnsi="Times New Roman" w:cs="Times New Roman"/>
          <w:sz w:val="28"/>
          <w:szCs w:val="28"/>
        </w:rPr>
        <w:t xml:space="preserve"> обумовлена</w:t>
      </w:r>
      <w:r w:rsidR="00AF6CEC" w:rsidRPr="008F3CFF">
        <w:rPr>
          <w:rFonts w:ascii="Times New Roman" w:hAnsi="Times New Roman" w:cs="Times New Roman"/>
          <w:sz w:val="28"/>
          <w:szCs w:val="28"/>
        </w:rPr>
        <w:t xml:space="preserve"> подальшою реалізацією заходів щодо створення комфортного для суб’єктів звернень середовища надання адміністративних послуг та підвищення результативності і </w:t>
      </w:r>
      <w:r w:rsidR="00AF6CEC" w:rsidRPr="008F3CFF">
        <w:rPr>
          <w:rFonts w:ascii="Times New Roman" w:hAnsi="Times New Roman" w:cs="Times New Roman"/>
          <w:sz w:val="28"/>
          <w:szCs w:val="28"/>
        </w:rPr>
        <w:lastRenderedPageBreak/>
        <w:t xml:space="preserve">ефективності функціонування відділу « Центр надання адміністративних послуг» у рамках реформи децентралізації. </w:t>
      </w:r>
    </w:p>
    <w:p w14:paraId="63FAB7F0" w14:textId="2D61F016" w:rsidR="002043B4" w:rsidRPr="008F3CFF" w:rsidRDefault="00AF6CEC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З урахуванням особливостей функціонування Чортківської міської територіальної громади</w:t>
      </w:r>
      <w:r w:rsidR="001A17A8" w:rsidRPr="008F3CFF">
        <w:rPr>
          <w:rFonts w:ascii="Times New Roman" w:hAnsi="Times New Roman" w:cs="Times New Roman"/>
          <w:sz w:val="28"/>
          <w:szCs w:val="28"/>
        </w:rPr>
        <w:t>,</w:t>
      </w:r>
      <w:r w:rsidRPr="008F3CFF">
        <w:rPr>
          <w:rFonts w:ascii="Times New Roman" w:hAnsi="Times New Roman" w:cs="Times New Roman"/>
          <w:sz w:val="28"/>
          <w:szCs w:val="28"/>
        </w:rPr>
        <w:t xml:space="preserve"> в умовах територіальної віддаленості окремих населених пунктів та мікрорайонів від адміністративної будівлі міської ради</w:t>
      </w:r>
      <w:r w:rsidR="00A87BFC" w:rsidRPr="008F3CFF">
        <w:rPr>
          <w:rFonts w:ascii="Times New Roman" w:hAnsi="Times New Roman" w:cs="Times New Roman"/>
          <w:sz w:val="28"/>
          <w:szCs w:val="28"/>
        </w:rPr>
        <w:t>,</w:t>
      </w:r>
      <w:r w:rsidRPr="008F3CFF">
        <w:rPr>
          <w:rFonts w:ascii="Times New Roman" w:hAnsi="Times New Roman" w:cs="Times New Roman"/>
          <w:sz w:val="28"/>
          <w:szCs w:val="28"/>
        </w:rPr>
        <w:t xml:space="preserve"> виникла гостра потреба у розміщенні Територіального підрозділу </w:t>
      </w:r>
      <w:proofErr w:type="spellStart"/>
      <w:r w:rsidRPr="008F3CFF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8F3CFF">
        <w:rPr>
          <w:rFonts w:ascii="Times New Roman" w:hAnsi="Times New Roman" w:cs="Times New Roman"/>
          <w:sz w:val="28"/>
          <w:szCs w:val="28"/>
        </w:rPr>
        <w:t xml:space="preserve"> у </w:t>
      </w:r>
      <w:r w:rsidR="00A87BFC" w:rsidRPr="008F3CFF">
        <w:rPr>
          <w:rFonts w:ascii="Times New Roman" w:hAnsi="Times New Roman" w:cs="Times New Roman"/>
          <w:sz w:val="28"/>
          <w:szCs w:val="28"/>
        </w:rPr>
        <w:t>віддаленому мікрорайоні м Чортків.</w:t>
      </w:r>
    </w:p>
    <w:p w14:paraId="7DD8EFDB" w14:textId="2136050B" w:rsidR="0022539F" w:rsidRPr="008F3CFF" w:rsidRDefault="002043B4" w:rsidP="008F3CF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При реалізації даних заходів, на базі приміщень які передаються буде створено  підрозділ </w:t>
      </w:r>
      <w:proofErr w:type="spellStart"/>
      <w:r w:rsidRPr="008F3CFF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="00297D5C" w:rsidRPr="008F3CFF">
        <w:rPr>
          <w:rFonts w:ascii="Times New Roman" w:hAnsi="Times New Roman" w:cs="Times New Roman"/>
          <w:sz w:val="28"/>
          <w:szCs w:val="28"/>
        </w:rPr>
        <w:t xml:space="preserve"> та</w:t>
      </w:r>
      <w:r w:rsidRPr="008F3CFF">
        <w:rPr>
          <w:rFonts w:ascii="Times New Roman" w:hAnsi="Times New Roman" w:cs="Times New Roman"/>
          <w:sz w:val="28"/>
          <w:szCs w:val="28"/>
        </w:rPr>
        <w:t xml:space="preserve"> «Єдине вікно комунальних послуг», </w:t>
      </w:r>
      <w:r w:rsidR="0022539F" w:rsidRPr="008F3CFF">
        <w:rPr>
          <w:rFonts w:ascii="Times New Roman" w:hAnsi="Times New Roman" w:cs="Times New Roman"/>
          <w:sz w:val="28"/>
          <w:szCs w:val="28"/>
        </w:rPr>
        <w:t>із урахуванням усіх вимог та стандартів із забезпеченням доступу для людей з обмеженими можливостями, розширит</w:t>
      </w:r>
      <w:r w:rsidR="009C6FFE" w:rsidRPr="008F3CFF">
        <w:rPr>
          <w:rFonts w:ascii="Times New Roman" w:hAnsi="Times New Roman" w:cs="Times New Roman"/>
          <w:sz w:val="28"/>
          <w:szCs w:val="28"/>
        </w:rPr>
        <w:t>ь</w:t>
      </w:r>
      <w:r w:rsidR="0022539F" w:rsidRPr="008F3CFF">
        <w:rPr>
          <w:rFonts w:ascii="Times New Roman" w:hAnsi="Times New Roman" w:cs="Times New Roman"/>
          <w:sz w:val="28"/>
          <w:szCs w:val="28"/>
        </w:rPr>
        <w:t xml:space="preserve"> якість та обсяг публічних послуг, для яких </w:t>
      </w:r>
      <w:r w:rsidR="009C6FFE" w:rsidRPr="008F3CFF">
        <w:rPr>
          <w:rFonts w:ascii="Times New Roman" w:hAnsi="Times New Roman" w:cs="Times New Roman"/>
          <w:sz w:val="28"/>
          <w:szCs w:val="28"/>
        </w:rPr>
        <w:t xml:space="preserve">буде </w:t>
      </w:r>
      <w:r w:rsidR="0022539F" w:rsidRPr="008F3CFF">
        <w:rPr>
          <w:rFonts w:ascii="Times New Roman" w:hAnsi="Times New Roman" w:cs="Times New Roman"/>
          <w:sz w:val="28"/>
          <w:szCs w:val="28"/>
        </w:rPr>
        <w:t>закуп</w:t>
      </w:r>
      <w:r w:rsidR="009C6FFE" w:rsidRPr="008F3CFF">
        <w:rPr>
          <w:rFonts w:ascii="Times New Roman" w:hAnsi="Times New Roman" w:cs="Times New Roman"/>
          <w:sz w:val="28"/>
          <w:szCs w:val="28"/>
        </w:rPr>
        <w:t>лене</w:t>
      </w:r>
      <w:r w:rsidR="0022539F" w:rsidRPr="008F3CFF">
        <w:rPr>
          <w:rFonts w:ascii="Times New Roman" w:hAnsi="Times New Roman" w:cs="Times New Roman"/>
          <w:sz w:val="28"/>
          <w:szCs w:val="28"/>
        </w:rPr>
        <w:t xml:space="preserve"> спеціалізоване обладнання</w:t>
      </w:r>
      <w:r w:rsidR="009C6FFE" w:rsidRPr="008F3CFF">
        <w:rPr>
          <w:rFonts w:ascii="Times New Roman" w:hAnsi="Times New Roman" w:cs="Times New Roman"/>
          <w:sz w:val="28"/>
          <w:szCs w:val="28"/>
        </w:rPr>
        <w:t>.</w:t>
      </w:r>
      <w:r w:rsidR="0022539F" w:rsidRPr="008F3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958FF" w14:textId="6FEAE1DD" w:rsidR="002043B4" w:rsidRPr="008F3CFF" w:rsidRDefault="0022539F" w:rsidP="008F3CF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</w:t>
      </w:r>
      <w:r w:rsidR="009C6FFE" w:rsidRPr="008F3CFF">
        <w:rPr>
          <w:rFonts w:ascii="Times New Roman" w:hAnsi="Times New Roman" w:cs="Times New Roman"/>
          <w:sz w:val="28"/>
          <w:szCs w:val="28"/>
        </w:rPr>
        <w:t xml:space="preserve">Також буде </w:t>
      </w:r>
      <w:r w:rsidRPr="008F3CFF">
        <w:rPr>
          <w:rFonts w:ascii="Times New Roman" w:hAnsi="Times New Roman" w:cs="Times New Roman"/>
          <w:sz w:val="28"/>
          <w:szCs w:val="28"/>
        </w:rPr>
        <w:t>підтрима</w:t>
      </w:r>
      <w:r w:rsidR="009C6FFE" w:rsidRPr="008F3CFF">
        <w:rPr>
          <w:rFonts w:ascii="Times New Roman" w:hAnsi="Times New Roman" w:cs="Times New Roman"/>
          <w:sz w:val="28"/>
          <w:szCs w:val="28"/>
        </w:rPr>
        <w:t>но</w:t>
      </w:r>
      <w:r w:rsidRPr="008F3CFF">
        <w:rPr>
          <w:rFonts w:ascii="Times New Roman" w:hAnsi="Times New Roman" w:cs="Times New Roman"/>
          <w:sz w:val="28"/>
          <w:szCs w:val="28"/>
        </w:rPr>
        <w:t xml:space="preserve"> громадські ініціативи щодо роботи молодіжної ради та центру дозвілля, організації жіночого лідерства, центру психологічної допомоги, які тимчасово діють в приміщеннях інших комунальних закладів і змушені узгоджувати свою роботу із графіком цих закладів</w:t>
      </w:r>
    </w:p>
    <w:p w14:paraId="2D39F1CA" w14:textId="77777777" w:rsidR="002043B4" w:rsidRPr="008F3CFF" w:rsidRDefault="002043B4" w:rsidP="0064053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60"/>
      <w:bookmarkStart w:id="2" w:name="n61"/>
      <w:bookmarkEnd w:id="1"/>
      <w:bookmarkEnd w:id="2"/>
      <w:r w:rsidRPr="008F3CFF">
        <w:rPr>
          <w:rFonts w:ascii="Times New Roman" w:hAnsi="Times New Roman" w:cs="Times New Roman"/>
          <w:sz w:val="28"/>
          <w:szCs w:val="28"/>
        </w:rPr>
        <w:t>Передача будівлі до комунальної власності територіальної громади обумовлена наступним:</w:t>
      </w:r>
    </w:p>
    <w:p w14:paraId="752D01C3" w14:textId="77777777" w:rsidR="002043B4" w:rsidRPr="008F3CFF" w:rsidRDefault="002043B4" w:rsidP="0064053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1) призведе до економії коштів державного бюджету на утримання будівлі, сплаті податку за землю; </w:t>
      </w:r>
    </w:p>
    <w:p w14:paraId="02DF099C" w14:textId="77777777" w:rsidR="002043B4" w:rsidRPr="008F3CFF" w:rsidRDefault="002043B4" w:rsidP="0064053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2) об’єднана територіальна громада міста спроможна ефективно управляти нерухомим майном;</w:t>
      </w:r>
    </w:p>
    <w:p w14:paraId="717074EE" w14:textId="77777777" w:rsidR="002043B4" w:rsidRPr="008F3CFF" w:rsidRDefault="002043B4" w:rsidP="0064053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3) сприятиме покращенню організації технічного обслуговування і ремонту будівлі;</w:t>
      </w:r>
    </w:p>
    <w:p w14:paraId="3EE40774" w14:textId="4103BF57" w:rsidR="00976608" w:rsidRDefault="002043B4" w:rsidP="0064053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4) забезпечити додатковими приміщеннями територіальну громаду для підвищення рівня комфортного проживання в місті та створення сприятливих умов для підвищення якості надання</w:t>
      </w:r>
      <w:r w:rsidR="00A87BFC" w:rsidRPr="008F3CFF">
        <w:rPr>
          <w:rFonts w:ascii="Times New Roman" w:hAnsi="Times New Roman" w:cs="Times New Roman"/>
          <w:sz w:val="28"/>
          <w:szCs w:val="28"/>
        </w:rPr>
        <w:t xml:space="preserve"> соціальних</w:t>
      </w:r>
      <w:r w:rsidRPr="008F3CFF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14:paraId="1E5EBBBE" w14:textId="77777777" w:rsidR="0064053B" w:rsidRPr="008F3CFF" w:rsidRDefault="0064053B" w:rsidP="0064053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83AA5C0" w14:textId="5C39F92A" w:rsidR="004251A6" w:rsidRPr="008F3CFF" w:rsidRDefault="001A17A8" w:rsidP="0064053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F3CF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2.</w:t>
      </w:r>
      <w:r w:rsidR="0064053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4251A6" w:rsidRPr="008F3CF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Визначення джерел фінансування та обсягів витрат для подальшого утримання та використання зазначеного майна</w:t>
      </w:r>
      <w:r w:rsidR="00F44BE0" w:rsidRPr="008F3CF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D5455BB" w14:textId="10CFF504" w:rsidR="00F44BE0" w:rsidRPr="008F3CFF" w:rsidRDefault="00F44BE0" w:rsidP="0064053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Фінансування для утримання та використання зазначеного нерухомого майна будівлі здійснюватиметься за рахунок коштів бюджету Чортківської міської територіальної громади.</w:t>
      </w:r>
    </w:p>
    <w:p w14:paraId="7FDFB2B0" w14:textId="7803489B" w:rsidR="00F44BE0" w:rsidRPr="008F3CFF" w:rsidRDefault="00F44BE0" w:rsidP="0064053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З метою підвищення ефективності використання вищезазначеного об'єкта після передачі у комунальну власність Чортківської міської територіальної громади передбачається здійснення таких заходів (таблиця 1). </w:t>
      </w:r>
    </w:p>
    <w:p w14:paraId="12DB123A" w14:textId="50B5A5E6" w:rsidR="00F44BE0" w:rsidRPr="008F3CFF" w:rsidRDefault="00F44BE0" w:rsidP="008F3C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F3CFF">
        <w:rPr>
          <w:rFonts w:ascii="Times New Roman" w:hAnsi="Times New Roman" w:cs="Times New Roman"/>
          <w:sz w:val="28"/>
          <w:szCs w:val="28"/>
        </w:rPr>
        <w:t>План заходів підвищення ефективності діяльності об’єкта після передачі</w:t>
      </w:r>
    </w:p>
    <w:p w14:paraId="177A5D7E" w14:textId="667A423C" w:rsidR="00F44BE0" w:rsidRPr="008F3CFF" w:rsidRDefault="00F44BE0" w:rsidP="008F3C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F3CFF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31"/>
      </w:tblGrid>
      <w:tr w:rsidR="00F44BE0" w:rsidRPr="008F3CFF" w14:paraId="3FDDE842" w14:textId="77777777" w:rsidTr="00F44BE0">
        <w:tc>
          <w:tcPr>
            <w:tcW w:w="562" w:type="dxa"/>
          </w:tcPr>
          <w:p w14:paraId="59AD320D" w14:textId="161723FF" w:rsidR="00F44BE0" w:rsidRPr="008F3CFF" w:rsidRDefault="00F44BE0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№</w:t>
            </w:r>
          </w:p>
        </w:tc>
        <w:tc>
          <w:tcPr>
            <w:tcW w:w="4536" w:type="dxa"/>
          </w:tcPr>
          <w:p w14:paraId="6466040C" w14:textId="36A1A022" w:rsidR="00F44BE0" w:rsidRPr="008F3CFF" w:rsidRDefault="00F44BE0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Заходи</w:t>
            </w:r>
          </w:p>
        </w:tc>
        <w:tc>
          <w:tcPr>
            <w:tcW w:w="4531" w:type="dxa"/>
          </w:tcPr>
          <w:p w14:paraId="38B62CB5" w14:textId="294B009F" w:rsidR="00F44BE0" w:rsidRPr="008F3CFF" w:rsidRDefault="00F44BE0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Термін реалізації</w:t>
            </w:r>
          </w:p>
        </w:tc>
      </w:tr>
      <w:tr w:rsidR="00F44BE0" w:rsidRPr="008F3CFF" w14:paraId="3584381C" w14:textId="77777777" w:rsidTr="00F44BE0">
        <w:tc>
          <w:tcPr>
            <w:tcW w:w="562" w:type="dxa"/>
          </w:tcPr>
          <w:p w14:paraId="3F23F0E9" w14:textId="185BDB97" w:rsidR="00F44BE0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</w:t>
            </w:r>
          </w:p>
        </w:tc>
        <w:tc>
          <w:tcPr>
            <w:tcW w:w="4536" w:type="dxa"/>
          </w:tcPr>
          <w:p w14:paraId="60DDF8AE" w14:textId="74843080" w:rsidR="00F44BE0" w:rsidRPr="008F3CFF" w:rsidRDefault="00F44BE0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Переоформлення </w:t>
            </w:r>
            <w:proofErr w:type="spellStart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правоустановчих</w:t>
            </w:r>
            <w:proofErr w:type="spellEnd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</w:t>
            </w:r>
          </w:p>
        </w:tc>
        <w:tc>
          <w:tcPr>
            <w:tcW w:w="4531" w:type="dxa"/>
          </w:tcPr>
          <w:p w14:paraId="3E9A037A" w14:textId="49A4DE2F" w:rsidR="00F44BE0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Напротязі двох місяців після передачі об’єкта</w:t>
            </w:r>
          </w:p>
        </w:tc>
      </w:tr>
      <w:tr w:rsidR="00D44BDB" w:rsidRPr="008F3CFF" w14:paraId="391AB101" w14:textId="77777777" w:rsidTr="00F44BE0">
        <w:tc>
          <w:tcPr>
            <w:tcW w:w="562" w:type="dxa"/>
          </w:tcPr>
          <w:p w14:paraId="2C696D61" w14:textId="1703E97A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2</w:t>
            </w:r>
          </w:p>
        </w:tc>
        <w:tc>
          <w:tcPr>
            <w:tcW w:w="4536" w:type="dxa"/>
          </w:tcPr>
          <w:p w14:paraId="6395E898" w14:textId="0465801D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Перегляд структури витрат</w:t>
            </w:r>
          </w:p>
        </w:tc>
        <w:tc>
          <w:tcPr>
            <w:tcW w:w="4531" w:type="dxa"/>
          </w:tcPr>
          <w:p w14:paraId="0908FE91" w14:textId="180475B5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Напротязі шести місяців після передачі об’єкта</w:t>
            </w:r>
          </w:p>
        </w:tc>
      </w:tr>
      <w:tr w:rsidR="00D44BDB" w:rsidRPr="008F3CFF" w14:paraId="2799BE31" w14:textId="77777777" w:rsidTr="00F44BE0">
        <w:tc>
          <w:tcPr>
            <w:tcW w:w="562" w:type="dxa"/>
          </w:tcPr>
          <w:p w14:paraId="50055345" w14:textId="0C20BAF3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lastRenderedPageBreak/>
              <w:t>3</w:t>
            </w:r>
          </w:p>
        </w:tc>
        <w:tc>
          <w:tcPr>
            <w:tcW w:w="4536" w:type="dxa"/>
          </w:tcPr>
          <w:p w14:paraId="77586B16" w14:textId="0B53798C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Планування та проведення капітального ремонту</w:t>
            </w:r>
          </w:p>
        </w:tc>
        <w:tc>
          <w:tcPr>
            <w:tcW w:w="4531" w:type="dxa"/>
          </w:tcPr>
          <w:p w14:paraId="16110FD9" w14:textId="336A771C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Напротязі 1 року</w:t>
            </w:r>
          </w:p>
        </w:tc>
      </w:tr>
      <w:tr w:rsidR="00D44BDB" w:rsidRPr="008F3CFF" w14:paraId="4869F42E" w14:textId="77777777" w:rsidTr="00F44BE0">
        <w:tc>
          <w:tcPr>
            <w:tcW w:w="562" w:type="dxa"/>
          </w:tcPr>
          <w:p w14:paraId="502226C8" w14:textId="5EB0B6A5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4</w:t>
            </w:r>
          </w:p>
        </w:tc>
        <w:tc>
          <w:tcPr>
            <w:tcW w:w="4536" w:type="dxa"/>
          </w:tcPr>
          <w:p w14:paraId="49369D59" w14:textId="30F4173A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Введення в експлуатацію</w:t>
            </w:r>
          </w:p>
        </w:tc>
        <w:tc>
          <w:tcPr>
            <w:tcW w:w="4531" w:type="dxa"/>
          </w:tcPr>
          <w:p w14:paraId="4F3F3F3D" w14:textId="3E4F854B" w:rsidR="00D44BDB" w:rsidRPr="008F3CFF" w:rsidRDefault="00D44BDB" w:rsidP="008F3CFF">
            <w:pPr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8F3C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Напротязі двох місяців</w:t>
            </w:r>
          </w:p>
        </w:tc>
      </w:tr>
    </w:tbl>
    <w:p w14:paraId="4D445C1D" w14:textId="77777777" w:rsidR="00F44BE0" w:rsidRPr="008F3CFF" w:rsidRDefault="00F44BE0" w:rsidP="008F3C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6D769D9" w14:textId="02C8B6F4" w:rsidR="00D44BDB" w:rsidRPr="008F3CFF" w:rsidRDefault="00D44BDB" w:rsidP="008F3CFF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За попередніми розрахунками за основними статтями витрат для утримання </w:t>
      </w:r>
      <w:r w:rsidR="00A87BFC" w:rsidRPr="008F3CFF">
        <w:rPr>
          <w:rFonts w:ascii="Times New Roman" w:hAnsi="Times New Roman" w:cs="Times New Roman"/>
          <w:sz w:val="28"/>
          <w:szCs w:val="28"/>
        </w:rPr>
        <w:t>комплексу нерухомого майна</w:t>
      </w:r>
      <w:r w:rsidRPr="008F3CFF">
        <w:rPr>
          <w:rFonts w:ascii="Times New Roman" w:hAnsi="Times New Roman" w:cs="Times New Roman"/>
          <w:sz w:val="28"/>
          <w:szCs w:val="28"/>
        </w:rPr>
        <w:t xml:space="preserve"> планується витрачати на рік близько </w:t>
      </w:r>
      <w:r w:rsidR="00221DB0" w:rsidRPr="008F3CFF">
        <w:rPr>
          <w:rFonts w:ascii="Times New Roman" w:hAnsi="Times New Roman" w:cs="Times New Roman"/>
          <w:sz w:val="28"/>
          <w:szCs w:val="28"/>
        </w:rPr>
        <w:t>414,146</w:t>
      </w:r>
      <w:r w:rsidRPr="008F3CFF">
        <w:rPr>
          <w:rFonts w:ascii="Times New Roman" w:hAnsi="Times New Roman" w:cs="Times New Roman"/>
          <w:sz w:val="28"/>
          <w:szCs w:val="28"/>
        </w:rPr>
        <w:t xml:space="preserve"> тис. грн (таблиця 2).</w:t>
      </w:r>
    </w:p>
    <w:p w14:paraId="70D281FB" w14:textId="77777777" w:rsidR="00D44BDB" w:rsidRPr="008F3CFF" w:rsidRDefault="00D44BDB" w:rsidP="008F3CFF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Таблиця 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A87BFC" w:rsidRPr="008F3CFF" w14:paraId="7CDBBAA5" w14:textId="77777777" w:rsidTr="00A87BFC">
        <w:tc>
          <w:tcPr>
            <w:tcW w:w="562" w:type="dxa"/>
          </w:tcPr>
          <w:p w14:paraId="5A358347" w14:textId="348251A8" w:rsidR="00A87BFC" w:rsidRPr="008F3CFF" w:rsidRDefault="00A87BF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4481419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57" w:type="dxa"/>
          </w:tcPr>
          <w:p w14:paraId="51FA159B" w14:textId="69044A16" w:rsidR="00A87BFC" w:rsidRPr="008F3CFF" w:rsidRDefault="00A87BF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Найменування річних витрат</w:t>
            </w:r>
          </w:p>
        </w:tc>
        <w:tc>
          <w:tcPr>
            <w:tcW w:w="3210" w:type="dxa"/>
          </w:tcPr>
          <w:p w14:paraId="021BBAD9" w14:textId="00FD3B76" w:rsidR="00A87BFC" w:rsidRPr="008F3CFF" w:rsidRDefault="00A87BF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  <w:proofErr w:type="spellStart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7BFC" w:rsidRPr="008F3CFF" w14:paraId="2CAB6A82" w14:textId="77777777" w:rsidTr="00A87BFC">
        <w:tc>
          <w:tcPr>
            <w:tcW w:w="562" w:type="dxa"/>
          </w:tcPr>
          <w:p w14:paraId="14944568" w14:textId="519E19D8" w:rsidR="00FE7A25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7" w:type="dxa"/>
          </w:tcPr>
          <w:p w14:paraId="17375BC2" w14:textId="11E5DCA6" w:rsidR="00A87BFC" w:rsidRPr="008F3CFF" w:rsidRDefault="00297D5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 Споживання електроенергії</w:t>
            </w:r>
            <w:r w:rsidR="00FE7A25"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 ( в т ч опалення)</w:t>
            </w:r>
          </w:p>
        </w:tc>
        <w:tc>
          <w:tcPr>
            <w:tcW w:w="3210" w:type="dxa"/>
          </w:tcPr>
          <w:p w14:paraId="41C7E510" w14:textId="3AAE7F84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398,000</w:t>
            </w:r>
          </w:p>
        </w:tc>
      </w:tr>
      <w:tr w:rsidR="00A87BFC" w:rsidRPr="008F3CFF" w14:paraId="4F7898C4" w14:textId="77777777" w:rsidTr="00A87BFC">
        <w:tc>
          <w:tcPr>
            <w:tcW w:w="562" w:type="dxa"/>
          </w:tcPr>
          <w:p w14:paraId="66943505" w14:textId="395254BA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7" w:type="dxa"/>
          </w:tcPr>
          <w:p w14:paraId="5EC2FFAB" w14:textId="04A54C1D" w:rsidR="00A87BFC" w:rsidRPr="008F3CFF" w:rsidRDefault="00297D5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Послуги водопостачання</w:t>
            </w:r>
          </w:p>
        </w:tc>
        <w:tc>
          <w:tcPr>
            <w:tcW w:w="3210" w:type="dxa"/>
          </w:tcPr>
          <w:p w14:paraId="79D730D0" w14:textId="4781BB70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17,460</w:t>
            </w:r>
          </w:p>
        </w:tc>
      </w:tr>
      <w:tr w:rsidR="00A87BFC" w:rsidRPr="008F3CFF" w14:paraId="3D21FF28" w14:textId="77777777" w:rsidTr="00A87BFC">
        <w:tc>
          <w:tcPr>
            <w:tcW w:w="562" w:type="dxa"/>
          </w:tcPr>
          <w:p w14:paraId="6089851F" w14:textId="26893492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7" w:type="dxa"/>
          </w:tcPr>
          <w:p w14:paraId="16C4E203" w14:textId="49B2F5AA" w:rsidR="00A87BFC" w:rsidRPr="008F3CFF" w:rsidRDefault="00297D5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Послуги каналізації</w:t>
            </w:r>
          </w:p>
        </w:tc>
        <w:tc>
          <w:tcPr>
            <w:tcW w:w="3210" w:type="dxa"/>
          </w:tcPr>
          <w:p w14:paraId="1A1F4836" w14:textId="19C8A1DF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11,555</w:t>
            </w:r>
          </w:p>
        </w:tc>
      </w:tr>
      <w:tr w:rsidR="00A87BFC" w:rsidRPr="008F3CFF" w14:paraId="0C01DFB4" w14:textId="77777777" w:rsidTr="00A87BFC">
        <w:tc>
          <w:tcPr>
            <w:tcW w:w="562" w:type="dxa"/>
          </w:tcPr>
          <w:p w14:paraId="5C467C91" w14:textId="78B28613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7" w:type="dxa"/>
          </w:tcPr>
          <w:p w14:paraId="1725BB1E" w14:textId="264D2A4B" w:rsidR="00A87BFC" w:rsidRPr="008F3CFF" w:rsidRDefault="00297D5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Послуги з вивезення побутових відходів</w:t>
            </w:r>
          </w:p>
        </w:tc>
        <w:tc>
          <w:tcPr>
            <w:tcW w:w="3210" w:type="dxa"/>
          </w:tcPr>
          <w:p w14:paraId="1D882BB7" w14:textId="716C776D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0,981</w:t>
            </w:r>
          </w:p>
        </w:tc>
      </w:tr>
      <w:tr w:rsidR="00A87BFC" w:rsidRPr="008F3CFF" w14:paraId="43456BF8" w14:textId="77777777" w:rsidTr="00A87BFC">
        <w:tc>
          <w:tcPr>
            <w:tcW w:w="562" w:type="dxa"/>
          </w:tcPr>
          <w:p w14:paraId="3EEFB629" w14:textId="73CE7A37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7" w:type="dxa"/>
          </w:tcPr>
          <w:p w14:paraId="0D2C1E76" w14:textId="10A6DCD8" w:rsidR="00A87BFC" w:rsidRPr="008F3CFF" w:rsidRDefault="00297D5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Інтернет послуги</w:t>
            </w:r>
          </w:p>
        </w:tc>
        <w:tc>
          <w:tcPr>
            <w:tcW w:w="3210" w:type="dxa"/>
          </w:tcPr>
          <w:p w14:paraId="709946FE" w14:textId="350781D6" w:rsidR="00A87BFC" w:rsidRPr="008F3CFF" w:rsidRDefault="00297D5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A87BFC" w:rsidRPr="008F3CFF" w14:paraId="1903DA29" w14:textId="77777777" w:rsidTr="00A87BFC">
        <w:tc>
          <w:tcPr>
            <w:tcW w:w="562" w:type="dxa"/>
          </w:tcPr>
          <w:p w14:paraId="594BDFEF" w14:textId="77777777" w:rsidR="00A87BFC" w:rsidRPr="008F3CFF" w:rsidRDefault="00A87BFC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14:paraId="4EDAC1AB" w14:textId="0D8CB756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10" w:type="dxa"/>
          </w:tcPr>
          <w:p w14:paraId="3944A1E6" w14:textId="60BA6FF4" w:rsidR="00A87BFC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414,146</w:t>
            </w:r>
          </w:p>
        </w:tc>
      </w:tr>
      <w:bookmarkEnd w:id="3"/>
    </w:tbl>
    <w:p w14:paraId="691CC3A4" w14:textId="77777777" w:rsidR="00A87BFC" w:rsidRPr="008F3CFF" w:rsidRDefault="00A87BFC" w:rsidP="008F3CFF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284DFA80" w14:textId="77777777" w:rsidR="000F1652" w:rsidRPr="008F3CFF" w:rsidRDefault="000F1652" w:rsidP="0064053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У разі передачі нерухомого майна будуть здійснені заходи щодо підвищення ефективності їх використання, які передбачають проведення ремонтних робіт. </w:t>
      </w:r>
    </w:p>
    <w:p w14:paraId="70B5AFEF" w14:textId="003CF05F" w:rsidR="000F1652" w:rsidRPr="008F3CFF" w:rsidRDefault="000F1652" w:rsidP="0064053B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За орієнтовним розрахунком витрати на проведення ремонтних робіт складатимуть </w:t>
      </w:r>
      <w:r w:rsidR="001A17A8" w:rsidRPr="008F3CFF">
        <w:rPr>
          <w:rFonts w:ascii="Times New Roman" w:hAnsi="Times New Roman" w:cs="Times New Roman"/>
          <w:sz w:val="28"/>
          <w:szCs w:val="28"/>
        </w:rPr>
        <w:t>97</w:t>
      </w:r>
      <w:r w:rsidR="00221DB0" w:rsidRPr="008F3CFF">
        <w:rPr>
          <w:rFonts w:ascii="Times New Roman" w:hAnsi="Times New Roman" w:cs="Times New Roman"/>
          <w:sz w:val="28"/>
          <w:szCs w:val="28"/>
        </w:rPr>
        <w:t>80</w:t>
      </w:r>
      <w:r w:rsidRPr="008F3CFF">
        <w:rPr>
          <w:rFonts w:ascii="Times New Roman" w:hAnsi="Times New Roman" w:cs="Times New Roman"/>
          <w:sz w:val="28"/>
          <w:szCs w:val="28"/>
        </w:rPr>
        <w:t xml:space="preserve">,00 тис. грн (таблиця 3). </w:t>
      </w:r>
    </w:p>
    <w:p w14:paraId="6B618108" w14:textId="77777777" w:rsidR="000F1652" w:rsidRPr="008F3CFF" w:rsidRDefault="000F1652" w:rsidP="008F3CFF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>Таблиця 3</w:t>
      </w:r>
    </w:p>
    <w:p w14:paraId="38BF0E46" w14:textId="052B5B7D" w:rsidR="00D44BDB" w:rsidRPr="008F3CFF" w:rsidRDefault="000F1652" w:rsidP="008F3CFF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 Орієнтовний план грошових витрат на ремонтні роботи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0F1652" w:rsidRPr="008F3CFF" w14:paraId="5979765F" w14:textId="77777777" w:rsidTr="00C71C4A">
        <w:tc>
          <w:tcPr>
            <w:tcW w:w="562" w:type="dxa"/>
          </w:tcPr>
          <w:p w14:paraId="46FD9354" w14:textId="77777777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57" w:type="dxa"/>
          </w:tcPr>
          <w:p w14:paraId="0909DE2D" w14:textId="1BA50CE2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3210" w:type="dxa"/>
          </w:tcPr>
          <w:p w14:paraId="5A9D23F6" w14:textId="77777777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  <w:proofErr w:type="spellStart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1652" w:rsidRPr="008F3CFF" w14:paraId="336A4E44" w14:textId="77777777" w:rsidTr="00C71C4A">
        <w:tc>
          <w:tcPr>
            <w:tcW w:w="562" w:type="dxa"/>
          </w:tcPr>
          <w:p w14:paraId="23BF0AD5" w14:textId="456848FB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57" w:type="dxa"/>
          </w:tcPr>
          <w:p w14:paraId="730F4B91" w14:textId="08CF2453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фасаду комплексу будівель з </w:t>
            </w:r>
            <w:proofErr w:type="spellStart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термомодернізацією</w:t>
            </w:r>
            <w:proofErr w:type="spellEnd"/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14:paraId="2CD2F0BD" w14:textId="079A309E" w:rsidR="000F1652" w:rsidRPr="008F3CFF" w:rsidRDefault="001A17A8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FE7A25" w:rsidRPr="008F3C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F1652" w:rsidRPr="008F3CFF" w14:paraId="4A017B17" w14:textId="77777777" w:rsidTr="00C71C4A">
        <w:tc>
          <w:tcPr>
            <w:tcW w:w="562" w:type="dxa"/>
          </w:tcPr>
          <w:p w14:paraId="104944BF" w14:textId="77777777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5DF1625" w14:textId="00143F0B" w:rsidR="000F1652" w:rsidRPr="008F3CFF" w:rsidRDefault="00221DB0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r w:rsidR="000F1652"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 ремонт внутрішніх приміщень</w:t>
            </w:r>
          </w:p>
        </w:tc>
        <w:tc>
          <w:tcPr>
            <w:tcW w:w="3210" w:type="dxa"/>
          </w:tcPr>
          <w:p w14:paraId="3A618393" w14:textId="7AB7F3C5" w:rsidR="000F1652" w:rsidRPr="008F3CFF" w:rsidRDefault="00221DB0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E7A25" w:rsidRPr="008F3CF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F1652" w:rsidRPr="008F3CFF" w14:paraId="15886357" w14:textId="77777777" w:rsidTr="00C71C4A">
        <w:tc>
          <w:tcPr>
            <w:tcW w:w="562" w:type="dxa"/>
          </w:tcPr>
          <w:p w14:paraId="35DBEF48" w14:textId="77777777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14:paraId="51777366" w14:textId="0D2A4F20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 xml:space="preserve">Меблі та устаткування </w:t>
            </w:r>
          </w:p>
        </w:tc>
        <w:tc>
          <w:tcPr>
            <w:tcW w:w="3210" w:type="dxa"/>
          </w:tcPr>
          <w:p w14:paraId="6E92EC84" w14:textId="64527352" w:rsidR="000F1652" w:rsidRPr="008F3CFF" w:rsidRDefault="00FE7A25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0F1652" w:rsidRPr="008F3CFF" w14:paraId="27101FF0" w14:textId="77777777" w:rsidTr="00C71C4A">
        <w:tc>
          <w:tcPr>
            <w:tcW w:w="562" w:type="dxa"/>
          </w:tcPr>
          <w:p w14:paraId="2C57BCED" w14:textId="77777777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14:paraId="3CF78C0A" w14:textId="6D582158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Благоустрій прилеглої території</w:t>
            </w:r>
          </w:p>
        </w:tc>
        <w:tc>
          <w:tcPr>
            <w:tcW w:w="3210" w:type="dxa"/>
          </w:tcPr>
          <w:p w14:paraId="7FC44175" w14:textId="3558054C" w:rsidR="000F1652" w:rsidRPr="008F3CFF" w:rsidRDefault="00221DB0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</w:tr>
      <w:tr w:rsidR="000F1652" w:rsidRPr="008F3CFF" w14:paraId="1506C38A" w14:textId="77777777" w:rsidTr="00C71C4A">
        <w:tc>
          <w:tcPr>
            <w:tcW w:w="562" w:type="dxa"/>
          </w:tcPr>
          <w:p w14:paraId="30A60C89" w14:textId="77777777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D3BAF25" w14:textId="680B8E93" w:rsidR="000F1652" w:rsidRPr="008F3CFF" w:rsidRDefault="000F1652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10" w:type="dxa"/>
          </w:tcPr>
          <w:p w14:paraId="25BB144E" w14:textId="131C72FC" w:rsidR="000F1652" w:rsidRPr="008F3CFF" w:rsidRDefault="001A17A8" w:rsidP="008F3CFF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21DB0" w:rsidRPr="008F3CFF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</w:tbl>
    <w:p w14:paraId="22F82B32" w14:textId="1DA66351" w:rsidR="004251A6" w:rsidRPr="008F3CFF" w:rsidRDefault="000F1652" w:rsidP="006405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Зважаючи на вищезазначене та враховуючи потребу в додаткових приміщеннях для розміщення </w:t>
      </w:r>
      <w:proofErr w:type="spellStart"/>
      <w:r w:rsidRPr="008F3CFF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8F3CFF">
        <w:rPr>
          <w:rFonts w:ascii="Times New Roman" w:hAnsi="Times New Roman" w:cs="Times New Roman"/>
          <w:sz w:val="28"/>
          <w:szCs w:val="28"/>
        </w:rPr>
        <w:t xml:space="preserve"> та Єдиного вікна комунальних послуг, дана передача дозволить зміцнити матеріально-технічну базу територіальної громади та </w:t>
      </w:r>
      <w:proofErr w:type="spellStart"/>
      <w:r w:rsidRPr="008F3CFF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8F3CFF">
        <w:rPr>
          <w:rFonts w:ascii="Times New Roman" w:hAnsi="Times New Roman" w:cs="Times New Roman"/>
          <w:sz w:val="28"/>
          <w:szCs w:val="28"/>
        </w:rPr>
        <w:t xml:space="preserve"> змогу вирішити питання якісного надання соціальних послуг громадянам та забезпечити комфортні умови проживання в Чортківській територіальній громаді.</w:t>
      </w:r>
      <w:bookmarkStart w:id="4" w:name="n62"/>
      <w:bookmarkEnd w:id="4"/>
      <w:r w:rsidR="004251A6" w:rsidRPr="008F3C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</w:p>
    <w:p w14:paraId="0B6A840A" w14:textId="487764C0" w:rsidR="0022539F" w:rsidRPr="008F3CFF" w:rsidRDefault="0064053B" w:rsidP="006405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n64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539F" w:rsidRPr="008F3CFF">
        <w:rPr>
          <w:rFonts w:ascii="Times New Roman" w:hAnsi="Times New Roman" w:cs="Times New Roman"/>
          <w:sz w:val="28"/>
          <w:szCs w:val="28"/>
        </w:rPr>
        <w:t>. Інформація про відповідність функціонального призначення об’єктів передачі завданням, покладеним на органи місцевого самоврядування.</w:t>
      </w:r>
    </w:p>
    <w:p w14:paraId="6C724BC5" w14:textId="4AF5CDE2" w:rsidR="004251A6" w:rsidRPr="008F3CFF" w:rsidRDefault="0022539F" w:rsidP="006405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FF">
        <w:rPr>
          <w:rFonts w:ascii="Times New Roman" w:hAnsi="Times New Roman" w:cs="Times New Roman"/>
          <w:sz w:val="28"/>
          <w:szCs w:val="28"/>
        </w:rPr>
        <w:t xml:space="preserve">Нежитлові будівлі за своїми характеристиками можуть бути використані для розміщення в їх приміщеннях виконавчих органів та структурних підрозділів Софіївської селищної ради. Передача будівель дозволить зміцнити </w:t>
      </w:r>
      <w:proofErr w:type="spellStart"/>
      <w:r w:rsidRPr="008F3CFF">
        <w:rPr>
          <w:rFonts w:ascii="Times New Roman" w:hAnsi="Times New Roman" w:cs="Times New Roman"/>
          <w:sz w:val="28"/>
          <w:szCs w:val="28"/>
        </w:rPr>
        <w:t>матеріальнотехнічну</w:t>
      </w:r>
      <w:proofErr w:type="spellEnd"/>
      <w:r w:rsidRPr="008F3CFF">
        <w:rPr>
          <w:rFonts w:ascii="Times New Roman" w:hAnsi="Times New Roman" w:cs="Times New Roman"/>
          <w:sz w:val="28"/>
          <w:szCs w:val="28"/>
        </w:rPr>
        <w:t xml:space="preserve"> базу Софіївської селищної територіальної громади та </w:t>
      </w:r>
      <w:proofErr w:type="spellStart"/>
      <w:r w:rsidRPr="008F3CFF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8F3CFF">
        <w:rPr>
          <w:rFonts w:ascii="Times New Roman" w:hAnsi="Times New Roman" w:cs="Times New Roman"/>
          <w:sz w:val="28"/>
          <w:szCs w:val="28"/>
        </w:rPr>
        <w:t xml:space="preserve"> змогу вирішити питання оперативного та якісного надання послуг громадянам та організаціям.</w:t>
      </w:r>
    </w:p>
    <w:p w14:paraId="4517AFA8" w14:textId="3B1E273D" w:rsidR="004251A6" w:rsidRDefault="00AA207B" w:rsidP="0064053B">
      <w:pPr>
        <w:jc w:val="both"/>
        <w:rPr>
          <w:rFonts w:ascii="Times New Roman" w:hAnsi="Times New Roman" w:cs="Times New Roman"/>
        </w:rPr>
      </w:pPr>
      <w:r w:rsidRPr="00AA207B">
        <w:rPr>
          <w:rFonts w:ascii="Times New Roman" w:hAnsi="Times New Roman" w:cs="Times New Roman"/>
        </w:rPr>
        <w:t>Примітка. Всі розрахунки є орієнтовними, остаточна калькуляція вартості ремонту та витрат на утримання вищезазначеної будівлі можлива за умови наявності затвердженої проектно-кошторисної документації та позитивного висновку будівельної експертизи.</w:t>
      </w:r>
    </w:p>
    <w:p w14:paraId="4DCF7521" w14:textId="77777777" w:rsidR="0064053B" w:rsidRDefault="0064053B" w:rsidP="0064053B">
      <w:pPr>
        <w:jc w:val="both"/>
        <w:rPr>
          <w:rFonts w:ascii="Times New Roman" w:hAnsi="Times New Roman" w:cs="Times New Roman"/>
        </w:rPr>
      </w:pPr>
    </w:p>
    <w:p w14:paraId="52454490" w14:textId="77777777" w:rsidR="0064053B" w:rsidRPr="0064053B" w:rsidRDefault="0064053B" w:rsidP="006405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</w:pPr>
      <w:r w:rsidRPr="0064053B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>Секретар міської ради                                                             Ярослав ДЗИНДРА</w:t>
      </w:r>
    </w:p>
    <w:p w14:paraId="22F79C72" w14:textId="77777777" w:rsidR="0064053B" w:rsidRDefault="0064053B" w:rsidP="0064053B">
      <w:pPr>
        <w:jc w:val="both"/>
        <w:rPr>
          <w:rFonts w:ascii="Times New Roman" w:hAnsi="Times New Roman" w:cs="Times New Roman"/>
        </w:rPr>
      </w:pPr>
    </w:p>
    <w:p w14:paraId="78DD1D35" w14:textId="77777777" w:rsidR="00AA207B" w:rsidRDefault="00AA207B">
      <w:pPr>
        <w:rPr>
          <w:rFonts w:ascii="Times New Roman" w:hAnsi="Times New Roman" w:cs="Times New Roman"/>
        </w:rPr>
      </w:pPr>
    </w:p>
    <w:p w14:paraId="5484AC40" w14:textId="77777777" w:rsidR="00AA207B" w:rsidRPr="00AA207B" w:rsidRDefault="00AA207B">
      <w:pPr>
        <w:rPr>
          <w:rFonts w:ascii="Times New Roman" w:hAnsi="Times New Roman" w:cs="Times New Roman"/>
        </w:rPr>
      </w:pPr>
    </w:p>
    <w:sectPr w:rsidR="00AA207B" w:rsidRPr="00AA2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29E"/>
    <w:multiLevelType w:val="hybridMultilevel"/>
    <w:tmpl w:val="A1AE3440"/>
    <w:lvl w:ilvl="0" w:tplc="CDB41A4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8" w:hanging="360"/>
      </w:pPr>
    </w:lvl>
    <w:lvl w:ilvl="2" w:tplc="0422001B" w:tentative="1">
      <w:start w:val="1"/>
      <w:numFmt w:val="lowerRoman"/>
      <w:lvlText w:val="%3."/>
      <w:lvlJc w:val="right"/>
      <w:pPr>
        <w:ind w:left="2298" w:hanging="180"/>
      </w:pPr>
    </w:lvl>
    <w:lvl w:ilvl="3" w:tplc="0422000F" w:tentative="1">
      <w:start w:val="1"/>
      <w:numFmt w:val="decimal"/>
      <w:lvlText w:val="%4."/>
      <w:lvlJc w:val="left"/>
      <w:pPr>
        <w:ind w:left="3018" w:hanging="360"/>
      </w:pPr>
    </w:lvl>
    <w:lvl w:ilvl="4" w:tplc="04220019" w:tentative="1">
      <w:start w:val="1"/>
      <w:numFmt w:val="lowerLetter"/>
      <w:lvlText w:val="%5."/>
      <w:lvlJc w:val="left"/>
      <w:pPr>
        <w:ind w:left="3738" w:hanging="360"/>
      </w:pPr>
    </w:lvl>
    <w:lvl w:ilvl="5" w:tplc="0422001B" w:tentative="1">
      <w:start w:val="1"/>
      <w:numFmt w:val="lowerRoman"/>
      <w:lvlText w:val="%6."/>
      <w:lvlJc w:val="right"/>
      <w:pPr>
        <w:ind w:left="4458" w:hanging="180"/>
      </w:pPr>
    </w:lvl>
    <w:lvl w:ilvl="6" w:tplc="0422000F" w:tentative="1">
      <w:start w:val="1"/>
      <w:numFmt w:val="decimal"/>
      <w:lvlText w:val="%7."/>
      <w:lvlJc w:val="left"/>
      <w:pPr>
        <w:ind w:left="5178" w:hanging="360"/>
      </w:pPr>
    </w:lvl>
    <w:lvl w:ilvl="7" w:tplc="04220019" w:tentative="1">
      <w:start w:val="1"/>
      <w:numFmt w:val="lowerLetter"/>
      <w:lvlText w:val="%8."/>
      <w:lvlJc w:val="left"/>
      <w:pPr>
        <w:ind w:left="5898" w:hanging="360"/>
      </w:pPr>
    </w:lvl>
    <w:lvl w:ilvl="8" w:tplc="0422001B" w:tentative="1">
      <w:start w:val="1"/>
      <w:numFmt w:val="lowerRoman"/>
      <w:lvlText w:val="%9."/>
      <w:lvlJc w:val="right"/>
      <w:pPr>
        <w:ind w:left="6618" w:hanging="180"/>
      </w:pPr>
    </w:lvl>
  </w:abstractNum>
  <w:num w:numId="1" w16cid:durableId="164554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DF"/>
    <w:rsid w:val="000F1652"/>
    <w:rsid w:val="001A17A8"/>
    <w:rsid w:val="002043B4"/>
    <w:rsid w:val="00221DB0"/>
    <w:rsid w:val="0022539F"/>
    <w:rsid w:val="002849AD"/>
    <w:rsid w:val="00297D5C"/>
    <w:rsid w:val="002B50A0"/>
    <w:rsid w:val="004251A6"/>
    <w:rsid w:val="004A4BB7"/>
    <w:rsid w:val="005611C0"/>
    <w:rsid w:val="0064053B"/>
    <w:rsid w:val="00892385"/>
    <w:rsid w:val="008F3CFF"/>
    <w:rsid w:val="00930211"/>
    <w:rsid w:val="00976608"/>
    <w:rsid w:val="009C6FFE"/>
    <w:rsid w:val="00A151C4"/>
    <w:rsid w:val="00A87BFC"/>
    <w:rsid w:val="00AA207B"/>
    <w:rsid w:val="00AB10DF"/>
    <w:rsid w:val="00AF6CEC"/>
    <w:rsid w:val="00B214FE"/>
    <w:rsid w:val="00B332F3"/>
    <w:rsid w:val="00B705F4"/>
    <w:rsid w:val="00BF63D8"/>
    <w:rsid w:val="00C6274B"/>
    <w:rsid w:val="00D44BDB"/>
    <w:rsid w:val="00D826A5"/>
    <w:rsid w:val="00EF5880"/>
    <w:rsid w:val="00F44BE0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6FBE"/>
  <w15:chartTrackingRefBased/>
  <w15:docId w15:val="{63FE7F03-D79C-4897-814F-9908296D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C0"/>
    <w:pPr>
      <w:ind w:left="720"/>
      <w:contextualSpacing/>
    </w:pPr>
  </w:style>
  <w:style w:type="table" w:styleId="a4">
    <w:name w:val="Table Grid"/>
    <w:basedOn w:val="a1"/>
    <w:uiPriority w:val="39"/>
    <w:rsid w:val="00F4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561E-897D-4C30-9DDB-BAFF6BB4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4307</Words>
  <Characters>2455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Войцеховська</dc:creator>
  <cp:keywords/>
  <dc:description/>
  <cp:lastModifiedBy>Маряна Фаріон</cp:lastModifiedBy>
  <cp:revision>11</cp:revision>
  <cp:lastPrinted>2023-09-15T07:19:00Z</cp:lastPrinted>
  <dcterms:created xsi:type="dcterms:W3CDTF">2023-08-31T09:41:00Z</dcterms:created>
  <dcterms:modified xsi:type="dcterms:W3CDTF">2023-09-15T07:19:00Z</dcterms:modified>
</cp:coreProperties>
</file>