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DD857" w14:textId="77777777" w:rsidR="00374708" w:rsidRDefault="00FC053F" w:rsidP="002D7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ПРОЄКТ </w:t>
      </w:r>
      <w:r w:rsidR="0037470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0C612B1F" w14:textId="77777777" w:rsidR="00374708" w:rsidRP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Чортківської міської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6BFE981" w14:textId="77777777"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A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A628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14:paraId="0B6DB7E8" w14:textId="77777777"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35020C" w14:textId="77777777"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B9C33C5" w14:textId="77777777" w:rsidR="00374708" w:rsidRDefault="00374708" w:rsidP="003747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7AC2E5" w14:textId="77777777"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08"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Розробник програми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Олеся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Нісевич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14:paraId="3A9372C1" w14:textId="77777777"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14:paraId="45A62C5C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09287" w14:textId="77777777" w:rsidR="00374708" w:rsidRPr="0060509F" w:rsidRDefault="00374708" w:rsidP="0060509F">
      <w:pPr>
        <w:shd w:val="clear" w:color="auto" w:fill="FFFFFF"/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Головний розпорядник коштів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0509F" w:rsidRPr="00605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Управління культури та мистецтв </w:t>
      </w:r>
      <w:r w:rsidRPr="006050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Чортківська міська рада</w:t>
      </w:r>
    </w:p>
    <w:p w14:paraId="1801F500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E20BE12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ПОГОДЖЕНО</w:t>
      </w:r>
    </w:p>
    <w:p w14:paraId="69286D70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FB44AB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Відділ економічного розвитку</w:t>
      </w:r>
    </w:p>
    <w:p w14:paraId="18862BF1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комунального майна</w:t>
      </w:r>
    </w:p>
    <w:p w14:paraId="6E506B87" w14:textId="77777777"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Андрій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Натуркач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14:paraId="1E3A15FA" w14:textId="77777777" w:rsid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</w:t>
      </w: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14:paraId="3569DC15" w14:textId="77777777" w:rsid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2CD750" w14:textId="77777777" w:rsid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Фінансове управління</w:t>
      </w:r>
    </w:p>
    <w:p w14:paraId="084CEF0F" w14:textId="77777777"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Надія Бойко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14:paraId="0A7BC182" w14:textId="77777777"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14:paraId="48BB4E66" w14:textId="77777777" w:rsidR="00374708" w:rsidRPr="00374708" w:rsidRDefault="00374708" w:rsidP="00374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BB8568" w14:textId="77777777" w:rsid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Юридичний відділ</w:t>
      </w:r>
    </w:p>
    <w:p w14:paraId="38F9C544" w14:textId="77777777"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62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Наталія </w:t>
      </w:r>
      <w:proofErr w:type="spellStart"/>
      <w:r w:rsidR="00A628E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Вандяк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</w:t>
      </w:r>
    </w:p>
    <w:p w14:paraId="61119D6A" w14:textId="77777777" w:rsidR="00374708" w:rsidRPr="00374708" w:rsidRDefault="00374708" w:rsidP="00374708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708">
        <w:rPr>
          <w:rFonts w:ascii="Times New Roman" w:eastAsia="Times New Roman" w:hAnsi="Times New Roman" w:cs="Times New Roman"/>
          <w:color w:val="000000"/>
          <w:sz w:val="20"/>
          <w:szCs w:val="20"/>
        </w:rPr>
        <w:t>(власне ім’я, прізвище)</w:t>
      </w:r>
    </w:p>
    <w:p w14:paraId="7BD0D1EE" w14:textId="77777777" w:rsidR="00374708" w:rsidRPr="00374708" w:rsidRDefault="00374708" w:rsidP="003747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12A348" w14:textId="77777777"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0EB28A" w14:textId="77777777"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E40025" w14:textId="77777777"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AE66522" w14:textId="77777777" w:rsidR="00374708" w:rsidRDefault="00374708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C28D17" w14:textId="77777777" w:rsidR="00B8058A" w:rsidRDefault="00B8058A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AB66A0" w14:textId="77777777" w:rsidR="00B8058A" w:rsidRDefault="00B8058A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F8CD59A" w14:textId="77777777" w:rsidR="00374708" w:rsidRDefault="00374708" w:rsidP="00601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B47BE" w14:textId="77777777"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2C12DA" w14:textId="77777777"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6DBEBF9" w14:textId="77777777"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85A77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B36B1B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20EFE2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9F7B5B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4C2C1F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4587D7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791036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6F9793" w14:textId="77777777" w:rsidR="002D7E56" w:rsidRDefault="002D7E56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169F77" w14:textId="77777777" w:rsidR="003818EC" w:rsidRDefault="003818EC" w:rsidP="00940BA4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F099DB" w14:textId="77777777" w:rsidR="00940BA4" w:rsidRDefault="00940BA4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Додаток</w:t>
      </w:r>
    </w:p>
    <w:p w14:paraId="5D4B49B0" w14:textId="77777777" w:rsidR="00940BA4" w:rsidRDefault="00A4078D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рішення </w:t>
      </w:r>
      <w:r w:rsidR="00667431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C56CAB1" w14:textId="6993FC31" w:rsidR="00A4078D" w:rsidRDefault="00A4078D" w:rsidP="00667431">
      <w:pPr>
        <w:shd w:val="clear" w:color="auto" w:fill="FFFFFF"/>
        <w:spacing w:after="0" w:line="240" w:lineRule="auto"/>
        <w:ind w:firstLine="53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r w:rsidR="00940B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51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серпня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№ </w:t>
      </w:r>
      <w:r w:rsidR="00B511CC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</w:p>
    <w:p w14:paraId="18AAB568" w14:textId="77777777" w:rsidR="003818EC" w:rsidRPr="003818EC" w:rsidRDefault="003818EC" w:rsidP="003818EC">
      <w:pPr>
        <w:shd w:val="clear" w:color="auto" w:fill="FFFFFF"/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FE06BC" w14:textId="77777777"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667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</w:t>
      </w:r>
      <w:r w:rsidR="006674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</w:p>
    <w:p w14:paraId="17553DBB" w14:textId="77777777" w:rsidR="004A19BC" w:rsidRPr="003818EC" w:rsidRDefault="009B366F" w:rsidP="003818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розвитку культури</w:t>
      </w:r>
      <w:r w:rsidR="003818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Чортківської міської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територіальн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громад</w:t>
      </w:r>
      <w:r w:rsidR="00622E0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C2DE3D5" w14:textId="77777777" w:rsidR="004A19BC" w:rsidRDefault="009B36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-202</w:t>
      </w:r>
      <w:r w:rsidR="002D7E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14:paraId="478A455C" w14:textId="77777777" w:rsidR="004A19BC" w:rsidRPr="00A4078D" w:rsidRDefault="009B366F" w:rsidP="00A407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</w:p>
    <w:p w14:paraId="1E93B23D" w14:textId="77777777" w:rsidR="004A19BC" w:rsidRDefault="009B366F" w:rsidP="003818EC">
      <w:pPr>
        <w:pStyle w:val="a4"/>
        <w:numPr>
          <w:ilvl w:val="0"/>
          <w:numId w:val="7"/>
        </w:numPr>
        <w:shd w:val="clear" w:color="auto" w:fill="FFFFFF"/>
        <w:tabs>
          <w:tab w:val="left" w:pos="3402"/>
          <w:tab w:val="left" w:pos="35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818EC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  <w:r w:rsidR="003818E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</w:t>
      </w:r>
    </w:p>
    <w:p w14:paraId="2329A381" w14:textId="77777777" w:rsidR="003818EC" w:rsidRPr="003818EC" w:rsidRDefault="003818EC" w:rsidP="003818EC">
      <w:pPr>
        <w:pStyle w:val="a4"/>
        <w:shd w:val="clear" w:color="auto" w:fill="FFFFFF"/>
        <w:tabs>
          <w:tab w:val="left" w:pos="3402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975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971"/>
        <w:gridCol w:w="2977"/>
        <w:gridCol w:w="5811"/>
      </w:tblGrid>
      <w:tr w:rsidR="004A19BC" w:rsidRPr="00A4078D" w14:paraId="0A3BFC90" w14:textId="77777777" w:rsidTr="00B616AE">
        <w:trPr>
          <w:trHeight w:val="625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72616F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0A36F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AB76F" w14:textId="77777777"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 міської ради</w:t>
            </w:r>
          </w:p>
        </w:tc>
      </w:tr>
      <w:tr w:rsidR="004A19BC" w:rsidRPr="00A4078D" w14:paraId="6337908E" w14:textId="77777777" w:rsidTr="00B616AE">
        <w:trPr>
          <w:trHeight w:val="177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4CE9E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766FA" w14:textId="77777777" w:rsidR="004A19BC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 розпорядчих документів при</w:t>
            </w:r>
            <w:r w:rsidR="009B366F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розробленні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866E04" w14:textId="77777777" w:rsidR="004A19BC" w:rsidRPr="00B616AE" w:rsidRDefault="009B366F" w:rsidP="00B616A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Закони України «Про місцеве самоврядування в Україні», </w:t>
            </w:r>
            <w:r w:rsidR="00622E0D"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«Про культуру», «Про охорону культурної спадщини», «Про бібліотеки та бібліотечну справу», 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«Про музей та музейну справу», «Про позашкільну освіту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19BC" w:rsidRPr="00A4078D" w14:paraId="5753977C" w14:textId="77777777" w:rsidTr="00B616AE">
        <w:trPr>
          <w:trHeight w:val="732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17039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2B3656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Розробник  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07635" w14:textId="77777777" w:rsidR="004A19BC" w:rsidRPr="00A4078D" w:rsidRDefault="009B366F" w:rsidP="00D93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 w:rsidR="00D935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  міської ради</w:t>
            </w:r>
          </w:p>
        </w:tc>
      </w:tr>
      <w:tr w:rsidR="004A19BC" w:rsidRPr="00A4078D" w14:paraId="6E044F93" w14:textId="77777777" w:rsidTr="00B616AE"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E74DC8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FD46A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A4A96B" w14:textId="77777777" w:rsidR="004A19BC" w:rsidRPr="00A4078D" w:rsidRDefault="00D9358A" w:rsidP="00B61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Чортківська мистецька музична школа ім. В.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Мармуса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Центр культурних послуг м. Чортків ім. К. </w:t>
            </w:r>
            <w:proofErr w:type="spellStart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Рубчакової</w:t>
            </w:r>
            <w:proofErr w:type="spellEnd"/>
            <w:r w:rsidR="00B616AE">
              <w:rPr>
                <w:rFonts w:ascii="Times New Roman" w:eastAsia="Times New Roman" w:hAnsi="Times New Roman" w:cs="Times New Roman"/>
                <w:sz w:val="28"/>
                <w:szCs w:val="28"/>
              </w:rPr>
              <w:t>, Центр культурних послуг с. Біла, Центр культурних послуг с. Росохач Чортківської міської ради</w:t>
            </w:r>
          </w:p>
        </w:tc>
      </w:tr>
      <w:tr w:rsidR="004A19BC" w:rsidRPr="00A4078D" w14:paraId="32ABD3EC" w14:textId="77777777" w:rsidTr="00B616AE">
        <w:trPr>
          <w:trHeight w:val="570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6DB536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DA75E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A9751" w14:textId="77777777" w:rsidR="004A19BC" w:rsidRPr="00A4078D" w:rsidRDefault="00D9358A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культури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мистецтв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Чортківської  міської ради</w:t>
            </w:r>
          </w:p>
        </w:tc>
      </w:tr>
      <w:tr w:rsidR="004A19BC" w:rsidRPr="00A4078D" w14:paraId="2CB26ED0" w14:textId="77777777" w:rsidTr="00B616AE">
        <w:trPr>
          <w:trHeight w:val="727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EDC1E1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3909B" w14:textId="77777777" w:rsidR="004A19BC" w:rsidRPr="00A4078D" w:rsidRDefault="009B366F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F692B" w14:textId="77777777" w:rsidR="004A19BC" w:rsidRPr="00A4078D" w:rsidRDefault="009B366F" w:rsidP="002D7E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2D7E56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4A19BC" w:rsidRPr="00A4078D" w14:paraId="312F16EB" w14:textId="77777777" w:rsidTr="00B616AE">
        <w:trPr>
          <w:trHeight w:val="824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1F362" w14:textId="77777777" w:rsidR="004A19BC" w:rsidRPr="00B616AE" w:rsidRDefault="004A19BC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2DDED" w14:textId="77777777" w:rsidR="004A19BC" w:rsidRPr="00A4078D" w:rsidRDefault="00B616AE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8B973" w14:textId="77777777" w:rsidR="004A19BC" w:rsidRPr="00A4078D" w:rsidRDefault="00B616AE" w:rsidP="00B80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</w:tr>
      <w:tr w:rsidR="00622E0D" w:rsidRPr="00A4078D" w14:paraId="64342EF4" w14:textId="77777777" w:rsidTr="00B616AE">
        <w:trPr>
          <w:trHeight w:val="723"/>
        </w:trPr>
        <w:tc>
          <w:tcPr>
            <w:tcW w:w="97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EFA4D" w14:textId="77777777" w:rsidR="00622E0D" w:rsidRPr="00B616AE" w:rsidRDefault="00622E0D" w:rsidP="00B616AE">
            <w:pPr>
              <w:pStyle w:val="a4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5605E" w14:textId="77777777" w:rsidR="00622E0D" w:rsidRPr="00A4078D" w:rsidRDefault="00622E0D" w:rsidP="00A407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Орієнтований обсяг фінансування Програми</w:t>
            </w:r>
          </w:p>
        </w:tc>
        <w:tc>
          <w:tcPr>
            <w:tcW w:w="5811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EEF4DA" w14:textId="77777777" w:rsidR="00622E0D" w:rsidRPr="00EC238E" w:rsidRDefault="00FC053F" w:rsidP="006050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22E0D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тис. </w:t>
            </w:r>
            <w:r w:rsidR="0060509F"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грн.</w:t>
            </w:r>
          </w:p>
        </w:tc>
      </w:tr>
    </w:tbl>
    <w:p w14:paraId="40FA25BA" w14:textId="77777777" w:rsidR="006018FD" w:rsidRDefault="006018FD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86174D" w14:textId="77777777" w:rsidR="003818EC" w:rsidRDefault="003818EC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38D0CB" w14:textId="77777777" w:rsidR="00DB4812" w:rsidRDefault="00DB4812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AEE431" w14:textId="77777777" w:rsidR="00A4078D" w:rsidRPr="00EC238E" w:rsidRDefault="00A36245" w:rsidP="00EC238E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="00D93457">
        <w:rPr>
          <w:rFonts w:ascii="Times New Roman" w:eastAsia="Times New Roman" w:hAnsi="Times New Roman" w:cs="Times New Roman"/>
          <w:b/>
          <w:sz w:val="28"/>
          <w:szCs w:val="28"/>
        </w:rPr>
        <w:t>г</w:t>
      </w:r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  <w:proofErr w:type="spellEnd"/>
      <w:r w:rsidR="00622E0D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доцільності Програми</w:t>
      </w:r>
    </w:p>
    <w:p w14:paraId="747533F1" w14:textId="77777777" w:rsidR="00B8058A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Комплексна програма розвитку культури в Чортківській міській територіальній громаді на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роки (далі – Програма) розроблена відповідно до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 xml:space="preserve"> нормативно-правових актів України,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Бюджетного кодексу України,  указів Президента України щодо відзначення загаль</w:t>
      </w:r>
      <w:r w:rsidR="00B3099F" w:rsidRPr="00A4078D">
        <w:rPr>
          <w:rFonts w:ascii="Times New Roman" w:eastAsia="Times New Roman" w:hAnsi="Times New Roman" w:cs="Times New Roman"/>
          <w:sz w:val="28"/>
          <w:szCs w:val="28"/>
        </w:rPr>
        <w:t>нодержавних та професійних свят</w:t>
      </w:r>
      <w:r w:rsidR="00B8058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56A667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Сфера культури є </w:t>
      </w:r>
      <w:proofErr w:type="spellStart"/>
      <w:r w:rsidRPr="00A4078D">
        <w:rPr>
          <w:rFonts w:ascii="Times New Roman" w:eastAsia="Times New Roman" w:hAnsi="Times New Roman" w:cs="Times New Roman"/>
          <w:sz w:val="28"/>
          <w:szCs w:val="28"/>
        </w:rPr>
        <w:t>найчутливішим</w:t>
      </w:r>
      <w:proofErr w:type="spellEnd"/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показником реалізації прав людини, зокрема таких, як право на ідентичність, національну пам’ять, почуття власної гідності та соціальної злагоди. Саме культура, що заохочує до найрізноманітніших форм творчого самовираження і водночас вивчення та оновлення традицій, сприяє розвитку економіки, інноваційної політики та активної участі громадськості в побудові сучасної та демократичної держави.</w:t>
      </w:r>
    </w:p>
    <w:p w14:paraId="4A3A8F04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Доступність культурних надбань і культурних ресурсів є важливою передумовою соціального та духовного розвитку, творчої реалізації особистості. Зокрема, йдеться про доступність нових технологій та сучасних форм культурного самовираження незалежно від місця проживання, статусу, приналежності до певної соціальної чи 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>етнічної групи,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майнового статусу, походження, статі.</w:t>
      </w:r>
    </w:p>
    <w:p w14:paraId="438D5EE0" w14:textId="77777777" w:rsidR="004A19BC" w:rsidRPr="00A4078D" w:rsidRDefault="009B366F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Аналіз соціокультурної ситуації на території Чортківської міської територіальної громади (далі - МТГ)  свідчить про необхідність збереження мережі установ культури, забезпечення підтримки діяльності аматорських колективів МТГ в існуючих економічних умовах.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Щоб жител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>, виходячи з дому чи залишаючись у ньому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, жили у культурі та творили її,  мали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різні культурні пропозиції, де кожен знайшов би щось для себе, де кожен міг би вільно творити, де б цінувалася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культура у всіх її виявах. М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одерність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МТГ</w:t>
      </w:r>
      <w:r w:rsidR="00C969C7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базуватиметь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ся на місцевих традиціях і локальних спільнотах. Щоб до </w:t>
      </w:r>
      <w:r w:rsidR="008A161C" w:rsidRPr="00A4078D">
        <w:rPr>
          <w:rFonts w:ascii="Times New Roman" w:eastAsia="Times New Roman" w:hAnsi="Times New Roman" w:cs="Times New Roman"/>
          <w:sz w:val="28"/>
          <w:szCs w:val="28"/>
        </w:rPr>
        <w:t>громади</w:t>
      </w:r>
      <w:r w:rsidR="008967FC" w:rsidRPr="00A4078D">
        <w:rPr>
          <w:rFonts w:ascii="Times New Roman" w:eastAsia="Times New Roman" w:hAnsi="Times New Roman" w:cs="Times New Roman"/>
          <w:sz w:val="28"/>
          <w:szCs w:val="28"/>
        </w:rPr>
        <w:t xml:space="preserve"> було цікаво і приїжджати, і жити, розвиватись, виховувати і вчити дітей. </w:t>
      </w:r>
    </w:p>
    <w:p w14:paraId="217D89B9" w14:textId="77777777" w:rsidR="009C2A21" w:rsidRDefault="00C969C7" w:rsidP="00A4078D">
      <w:pPr>
        <w:spacing w:after="0" w:line="240" w:lineRule="auto"/>
        <w:ind w:firstLine="707"/>
        <w:contextualSpacing/>
        <w:mirrorIndents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Мережа установ культури що надає послуги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жителів </w:t>
      </w:r>
      <w:r w:rsidR="00475EB8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r w:rsidR="00F85DE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включає 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9C2A21" w:rsidRPr="00F8579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C2A21" w:rsidRP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>за</w:t>
      </w:r>
      <w:r w:rsidR="00333B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кладів культури та 8 філій, </w:t>
      </w:r>
      <w:r w:rsidR="009C2A21" w:rsidRPr="00A407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саме: </w:t>
      </w:r>
    </w:p>
    <w:p w14:paraId="68194995" w14:textId="77777777" w:rsidR="00F85797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Чортківська публічна бібліотека Чортківської міської ради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 xml:space="preserve"> та філії:</w:t>
      </w:r>
    </w:p>
    <w:p w14:paraId="2D28CEFE" w14:textId="77777777" w:rsidR="00FE3F25" w:rsidRDefault="00277C59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Горішня Вигнанка</w:t>
      </w:r>
    </w:p>
    <w:p w14:paraId="1199B567" w14:textId="77777777" w:rsidR="00FE3F25" w:rsidRDefault="00FE3F25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77C59" w:rsidRPr="00FE3F25">
        <w:rPr>
          <w:rFonts w:ascii="Times New Roman" w:eastAsia="Times New Roman" w:hAnsi="Times New Roman" w:cs="Times New Roman"/>
          <w:sz w:val="28"/>
          <w:szCs w:val="28"/>
        </w:rPr>
        <w:t>ібліотека-філія с. Росохач</w:t>
      </w:r>
    </w:p>
    <w:p w14:paraId="50D0DCB3" w14:textId="77777777" w:rsidR="00A628E3" w:rsidRPr="00FE3F25" w:rsidRDefault="00940BA4" w:rsidP="00FE3F25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firstLine="633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>бібліотека-філія с. Біла</w:t>
      </w:r>
    </w:p>
    <w:p w14:paraId="77AFA647" w14:textId="77777777" w:rsidR="00F85797" w:rsidRPr="00A628E3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Чортківська мистецька музична школа ім. Василя </w:t>
      </w:r>
      <w:proofErr w:type="spellStart"/>
      <w:r w:rsidRPr="00A628E3">
        <w:rPr>
          <w:rFonts w:ascii="Times New Roman" w:eastAsia="Times New Roman" w:hAnsi="Times New Roman" w:cs="Times New Roman"/>
          <w:sz w:val="28"/>
          <w:szCs w:val="28"/>
        </w:rPr>
        <w:t>Мармуса</w:t>
      </w:r>
      <w:proofErr w:type="spellEnd"/>
      <w:r w:rsidRPr="00A628E3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ради;</w:t>
      </w:r>
    </w:p>
    <w:p w14:paraId="288AD72C" w14:textId="77777777" w:rsid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Музейна резиденція Чорткова Чортківської міської ради;</w:t>
      </w:r>
    </w:p>
    <w:p w14:paraId="716D83AE" w14:textId="77777777" w:rsidR="00F85797" w:rsidRPr="00FE3F25" w:rsidRDefault="00F85797" w:rsidP="00FE3F25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ім. Катерини </w:t>
      </w:r>
      <w:proofErr w:type="spellStart"/>
      <w:r w:rsidRPr="00FE3F25">
        <w:rPr>
          <w:rFonts w:ascii="Times New Roman" w:eastAsia="Times New Roman" w:hAnsi="Times New Roman" w:cs="Times New Roman"/>
          <w:sz w:val="28"/>
          <w:szCs w:val="28"/>
        </w:rPr>
        <w:t>Рубчакової</w:t>
      </w:r>
      <w:proofErr w:type="spellEnd"/>
      <w:r w:rsidRPr="00FE3F25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ради;</w:t>
      </w:r>
    </w:p>
    <w:p w14:paraId="11619C1B" w14:textId="77777777" w:rsidR="00F85797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культурних послуг с. Росохач Чортківської міської ради;</w:t>
      </w:r>
    </w:p>
    <w:p w14:paraId="68AE6EE1" w14:textId="77777777" w:rsidR="00F85797" w:rsidRDefault="00F85797" w:rsidP="00A628E3">
      <w:pPr>
        <w:pStyle w:val="a4"/>
        <w:numPr>
          <w:ilvl w:val="0"/>
          <w:numId w:val="3"/>
        </w:numPr>
        <w:shd w:val="clear" w:color="auto" w:fill="FFFFFF"/>
        <w:tabs>
          <w:tab w:val="left" w:pos="426"/>
          <w:tab w:val="left" w:pos="567"/>
        </w:tabs>
        <w:spacing w:after="0" w:line="240" w:lineRule="auto"/>
        <w:ind w:firstLine="207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Центр культурних послуг с. Біла Чортківської міської ради та студії: </w:t>
      </w:r>
    </w:p>
    <w:p w14:paraId="06E09AFD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Скородинці</w:t>
      </w:r>
    </w:p>
    <w:p w14:paraId="71A688F0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Бичківці</w:t>
      </w:r>
    </w:p>
    <w:p w14:paraId="1CE065C3" w14:textId="77777777" w:rsidR="00F85797" w:rsidRDefault="00F85797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579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студія </w:t>
      </w:r>
      <w:r w:rsidR="00277C59">
        <w:rPr>
          <w:rFonts w:ascii="Times New Roman" w:eastAsia="Times New Roman" w:hAnsi="Times New Roman" w:cs="Times New Roman"/>
          <w:sz w:val="28"/>
          <w:szCs w:val="28"/>
        </w:rPr>
        <w:t>с. Горішня Вигнанка</w:t>
      </w:r>
    </w:p>
    <w:p w14:paraId="67ACA601" w14:textId="77777777" w:rsidR="00277C59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Переходи</w:t>
      </w:r>
    </w:p>
    <w:p w14:paraId="65696F18" w14:textId="77777777" w:rsidR="00277C59" w:rsidRPr="00F85797" w:rsidRDefault="00277C59" w:rsidP="00277C59">
      <w:pPr>
        <w:pStyle w:val="a4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firstLine="774"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студія с. Пастуше</w:t>
      </w:r>
    </w:p>
    <w:p w14:paraId="18D7D9CB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Для розв’язання проблем, пов’язаних з розвитком культури, необхідна регіональна підтримка та комплексний підхід до координації діяльності закладів культури, взаємодія з органом місцевого самоврядування та міжгалузева координація.</w:t>
      </w:r>
    </w:p>
    <w:p w14:paraId="2BCAEDB4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Разом з тим, є необхідним регіональне регулювання та фінансова підтримка закладів культури, які є основними центрами р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>озвитку культури на території  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>Чортківської 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0DEBA2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Реалізація Програми дозволить досягти розв’язання проблем у сфері культури, вона покликана закласти надійне підґрунтя сталого інноваційно-культурного</w:t>
      </w:r>
      <w:r w:rsidR="00475EB8" w:rsidRPr="00A4078D">
        <w:rPr>
          <w:rFonts w:ascii="Times New Roman" w:eastAsia="Times New Roman" w:hAnsi="Times New Roman" w:cs="Times New Roman"/>
          <w:sz w:val="28"/>
          <w:szCs w:val="28"/>
        </w:rPr>
        <w:t xml:space="preserve"> розвитку Чортківської  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>міської територіальної громади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8156623" w14:textId="77777777" w:rsidR="004A19BC" w:rsidRPr="00A4078D" w:rsidRDefault="004A19BC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FC4713" w14:textId="77777777" w:rsidR="004A19BC" w:rsidRDefault="00A36245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C70476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Мета 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Програми</w:t>
      </w:r>
    </w:p>
    <w:p w14:paraId="443F6F21" w14:textId="77777777" w:rsidR="00695005" w:rsidRPr="00A4078D" w:rsidRDefault="009B366F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Створення умов для творчої активності мешканців громади, забезпечення доступу до культури через традиційні та нові форми культурної діяльності, використання новітніх знань та технологій,  залучення місцевого населення до культурного життя громади, 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>реорганізація закладів культури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95005"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0972CEA" w14:textId="77777777" w:rsidR="00695005" w:rsidRPr="00A4078D" w:rsidRDefault="00695005" w:rsidP="00A4078D">
      <w:pPr>
        <w:shd w:val="clear" w:color="auto" w:fill="FFFFFF"/>
        <w:spacing w:after="0" w:line="240" w:lineRule="auto"/>
        <w:ind w:firstLine="360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рамках програми планується поступове вирішення таких питань:</w:t>
      </w:r>
    </w:p>
    <w:p w14:paraId="52A2E460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</w:tabs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популяризація української культури та мови в громаді, формування історичної свідомості;</w:t>
      </w:r>
    </w:p>
    <w:p w14:paraId="4E2008C5" w14:textId="77777777" w:rsidR="00695005" w:rsidRPr="00A4078D" w:rsidRDefault="00695005" w:rsidP="00DB481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удосконалення бібліотечної справи та розвиток читання;</w:t>
      </w:r>
    </w:p>
    <w:p w14:paraId="3DFD5BDC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підтримка закладів культури </w:t>
      </w:r>
      <w:r w:rsidR="00AB6948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B9EF26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митців та мистецьких ініціатив;</w:t>
      </w:r>
    </w:p>
    <w:p w14:paraId="671851AE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підтримка культурної спадщини;</w:t>
      </w:r>
    </w:p>
    <w:p w14:paraId="2B0267FD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відзначення державних свят, пам’ятних дат, місцевого та загальнодержавного рівня, вшанування сучасних героїв та видатних постатей, промоція історично-культурних об’єктів;</w:t>
      </w:r>
    </w:p>
    <w:p w14:paraId="165C1E58" w14:textId="77777777" w:rsidR="00695005" w:rsidRPr="00A4078D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інтерактивних заходів, навчань, тренінгів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704C9BE" w14:textId="77777777" w:rsidR="00695005" w:rsidRDefault="00695005" w:rsidP="00DB48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співфінансування  проектів у галузі культури, які можуть бути р</w:t>
      </w:r>
      <w:r w:rsidR="00442B74">
        <w:rPr>
          <w:rFonts w:ascii="Times New Roman" w:eastAsia="Times New Roman" w:hAnsi="Times New Roman" w:cs="Times New Roman"/>
          <w:color w:val="000000"/>
          <w:sz w:val="28"/>
          <w:szCs w:val="28"/>
        </w:rPr>
        <w:t>еалізовані на території громади;</w:t>
      </w:r>
    </w:p>
    <w:p w14:paraId="3DBC6B92" w14:textId="77777777" w:rsid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 популяризацію місцевих авторів – письменників, поетів, літераторів; </w:t>
      </w:r>
    </w:p>
    <w:p w14:paraId="007788F3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розвитку книговидання та книго розповсюдження через підтримку випуску соціально значущих видань; </w:t>
      </w:r>
    </w:p>
    <w:p w14:paraId="04CD7BA4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забезпечення поповнення бібліотечних фондів періодикою та книгами місцевих авторів; </w:t>
      </w:r>
    </w:p>
    <w:p w14:paraId="5A0D003E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>сприяння у впровадженні сучасних методів роботи у музеї;</w:t>
      </w:r>
    </w:p>
    <w:p w14:paraId="3FCF42AB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 xml:space="preserve">сприяння у створенні нових, сучасних інтерактивних музейних заходів (тематичні виставки, екскурсії, майстер-класи та ін.); </w:t>
      </w:r>
    </w:p>
    <w:p w14:paraId="0D3D632E" w14:textId="77777777" w:rsidR="00442B74" w:rsidRPr="00442B74" w:rsidRDefault="00442B74" w:rsidP="00442B74">
      <w:pPr>
        <w:pStyle w:val="a4"/>
        <w:numPr>
          <w:ilvl w:val="0"/>
          <w:numId w:val="2"/>
        </w:numPr>
        <w:ind w:firstLine="66"/>
        <w:jc w:val="both"/>
        <w:rPr>
          <w:rFonts w:ascii="Times New Roman" w:hAnsi="Times New Roman" w:cs="Times New Roman"/>
          <w:sz w:val="28"/>
          <w:szCs w:val="28"/>
        </w:rPr>
      </w:pPr>
      <w:r w:rsidRPr="00442B74">
        <w:rPr>
          <w:rFonts w:ascii="Times New Roman" w:hAnsi="Times New Roman" w:cs="Times New Roman"/>
          <w:sz w:val="28"/>
          <w:szCs w:val="28"/>
        </w:rPr>
        <w:t>стимулювання та заохочення населення відвідувати музей.</w:t>
      </w:r>
    </w:p>
    <w:p w14:paraId="07129303" w14:textId="77777777" w:rsidR="00695005" w:rsidRPr="00A4078D" w:rsidRDefault="00695005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lastRenderedPageBreak/>
        <w:t>Вищезазначені питання можливо вирішити завдяки послідовному спрямуванню коштів та створення системного підходу до кожного з пунктів, проведення іміджевих, культурно-мистецьких та просвітницьких заходів.</w:t>
      </w:r>
    </w:p>
    <w:p w14:paraId="6E9E8F83" w14:textId="77777777" w:rsidR="004A19BC" w:rsidRPr="00A4078D" w:rsidRDefault="004A19BC" w:rsidP="00A4078D">
      <w:pPr>
        <w:shd w:val="clear" w:color="auto" w:fill="FFFFFF"/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F481FC" w14:textId="77777777" w:rsidR="004A19BC" w:rsidRPr="00A4078D" w:rsidRDefault="00A36245" w:rsidP="00A4078D">
      <w:pPr>
        <w:shd w:val="clear" w:color="auto" w:fill="FFFFFF"/>
        <w:spacing w:after="0" w:line="240" w:lineRule="auto"/>
        <w:ind w:firstLine="708"/>
        <w:contextualSpacing/>
        <w:mirrorIndents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9B366F" w:rsidRPr="00A4078D">
        <w:rPr>
          <w:rFonts w:ascii="Times New Roman" w:eastAsia="Times New Roman" w:hAnsi="Times New Roman" w:cs="Times New Roman"/>
          <w:b/>
          <w:sz w:val="28"/>
          <w:szCs w:val="28"/>
        </w:rPr>
        <w:t>. Заходи реалізації програми</w:t>
      </w:r>
    </w:p>
    <w:p w14:paraId="662B81E0" w14:textId="77777777" w:rsidR="00061505" w:rsidRDefault="00061505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Перелік напрямків діяльності та заходів із визначенням шляхів їх реалізації наведено у додатках 1, 2, 3 до Програми.</w:t>
      </w:r>
    </w:p>
    <w:p w14:paraId="2E226CB5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У разі необхідності зміни та доповнення до Програми вносяться за поданням управління культури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ради.</w:t>
      </w:r>
    </w:p>
    <w:p w14:paraId="79B118AB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sz w:val="28"/>
          <w:szCs w:val="28"/>
        </w:rPr>
        <w:t>Відповідальним за реалізацію заходів цієї Програми є управління культури</w:t>
      </w:r>
      <w:r w:rsidR="00AB6948">
        <w:rPr>
          <w:rFonts w:ascii="Times New Roman" w:eastAsia="Times New Roman" w:hAnsi="Times New Roman" w:cs="Times New Roman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Чортківської міської ради.</w:t>
      </w:r>
    </w:p>
    <w:p w14:paraId="1A0C4BD0" w14:textId="77777777" w:rsidR="003818EC" w:rsidRPr="00A4078D" w:rsidRDefault="003818EC" w:rsidP="00A4078D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64C52F6B" w14:textId="77777777" w:rsidR="00D93457" w:rsidRDefault="00A36245" w:rsidP="00D93457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Фінансове забезпечення Програми</w:t>
      </w:r>
    </w:p>
    <w:p w14:paraId="7BB9194C" w14:textId="77777777" w:rsidR="004A19BC" w:rsidRPr="00D93457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міського бюджетів, а також інших джерел, не заборонених чинним законодавством.  Закупівлі та послуги, які будуть реалізовуватись в рамках Програми, проводитимуться через систему "</w:t>
      </w:r>
      <w:proofErr w:type="spellStart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ProZorro</w:t>
      </w:r>
      <w:proofErr w:type="spellEnd"/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", відповідно до норм чинного законодавства та інших нормативно-правових актів.</w:t>
      </w:r>
    </w:p>
    <w:p w14:paraId="070C7B5D" w14:textId="77777777" w:rsidR="004A19BC" w:rsidRPr="00A4078D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Головним розпорядником коштів виступає управління культури</w:t>
      </w:r>
      <w:r w:rsidR="00D93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мистецтв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Чортківської міської ради.</w:t>
      </w:r>
    </w:p>
    <w:p w14:paraId="04E550EB" w14:textId="77777777" w:rsidR="004A19BC" w:rsidRPr="00A4078D" w:rsidRDefault="009B366F" w:rsidP="00DB48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і подання фінансової звітності про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використання коштів здійснюється в установленому законодавством порядку.</w:t>
      </w:r>
    </w:p>
    <w:p w14:paraId="6C5DE856" w14:textId="77777777" w:rsidR="004A19BC" w:rsidRPr="00A4078D" w:rsidRDefault="004A19BC" w:rsidP="00A407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84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973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0"/>
        <w:gridCol w:w="1245"/>
        <w:gridCol w:w="1290"/>
        <w:gridCol w:w="1275"/>
        <w:gridCol w:w="2569"/>
      </w:tblGrid>
      <w:tr w:rsidR="004A19BC" w:rsidRPr="00A4078D" w14:paraId="212948A8" w14:textId="77777777" w:rsidTr="00681B79">
        <w:trPr>
          <w:trHeight w:val="741"/>
        </w:trPr>
        <w:tc>
          <w:tcPr>
            <w:tcW w:w="33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72872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381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8B55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Етапи виконання Програми</w:t>
            </w:r>
            <w:r w:rsidR="008967FC"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E3927A1" w14:textId="77777777" w:rsidR="008967FC" w:rsidRPr="00A4078D" w:rsidRDefault="008967F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56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2069C" w14:textId="77777777" w:rsidR="00695005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Усього витрат на виконання Програми</w:t>
            </w:r>
          </w:p>
          <w:p w14:paraId="75B44E35" w14:textId="77777777" w:rsidR="004A19BC" w:rsidRPr="00A4078D" w:rsidRDefault="00695005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(тис.</w:t>
            </w:r>
            <w:r w:rsidR="00333B8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81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грн.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A19BC" w:rsidRPr="00A4078D" w14:paraId="4865580D" w14:textId="77777777" w:rsidTr="00681B79">
        <w:trPr>
          <w:trHeight w:val="480"/>
        </w:trPr>
        <w:tc>
          <w:tcPr>
            <w:tcW w:w="3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232E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386DB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97605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17E53" w14:textId="77777777" w:rsidR="004A19BC" w:rsidRPr="00A4078D" w:rsidRDefault="009B366F" w:rsidP="00A628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A628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Pr="00A407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56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0E32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053F" w:rsidRPr="00A4078D" w14:paraId="2929F2DA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FB3ED" w14:textId="77777777"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Загальний обсяг коштів: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676B1" w14:textId="77777777" w:rsidR="00FC053F" w:rsidRPr="00FC053F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45E35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0579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1D44B" w14:textId="77777777" w:rsidR="00FC053F" w:rsidRPr="00FC053F" w:rsidRDefault="00FC053F" w:rsidP="00D934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FC053F" w:rsidRPr="00A4078D" w14:paraId="52DE3A31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521D" w14:textId="77777777" w:rsidR="00FC053F" w:rsidRPr="00A4078D" w:rsidRDefault="00FC053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громади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8EFDD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6B624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68082" w14:textId="77777777" w:rsidR="00FC053F" w:rsidRPr="00FC053F" w:rsidRDefault="00FC053F"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5 160,0</w:t>
            </w: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D7C4" w14:textId="77777777" w:rsidR="00FC053F" w:rsidRPr="00FC053F" w:rsidRDefault="00FC053F" w:rsidP="00007E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053F">
              <w:rPr>
                <w:rFonts w:ascii="Times New Roman" w:eastAsia="Times New Roman" w:hAnsi="Times New Roman" w:cs="Times New Roman"/>
                <w:sz w:val="28"/>
                <w:szCs w:val="28"/>
              </w:rPr>
              <w:t>15 480,0</w:t>
            </w:r>
          </w:p>
        </w:tc>
      </w:tr>
      <w:tr w:rsidR="004A19BC" w:rsidRPr="00A4078D" w14:paraId="7697F7C5" w14:textId="77777777" w:rsidTr="00681B79">
        <w:tc>
          <w:tcPr>
            <w:tcW w:w="3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B4849" w14:textId="77777777" w:rsidR="004A19BC" w:rsidRPr="00A4078D" w:rsidRDefault="009B366F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078D">
              <w:rPr>
                <w:rFonts w:ascii="Times New Roman" w:eastAsia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F43B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661DB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51A60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1AC9E" w14:textId="77777777" w:rsidR="004A19BC" w:rsidRPr="00A4078D" w:rsidRDefault="004A19BC" w:rsidP="00A407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09409F" w14:textId="77777777" w:rsidR="004A19BC" w:rsidRPr="00A4078D" w:rsidRDefault="004A19BC" w:rsidP="00A4078D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00D792" w14:textId="77777777" w:rsidR="00A4078D" w:rsidRPr="00A4078D" w:rsidRDefault="00A36245" w:rsidP="00A4078D">
      <w:pPr>
        <w:shd w:val="clear" w:color="auto" w:fill="FFFFFF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9B366F" w:rsidRPr="00A4078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Очікувані кінцеві результати виконання Програми</w:t>
      </w:r>
    </w:p>
    <w:p w14:paraId="785AE4A3" w14:textId="77777777" w:rsidR="004A19BC" w:rsidRPr="00A4078D" w:rsidRDefault="009B366F" w:rsidP="00DB4812">
      <w:pPr>
        <w:shd w:val="clear" w:color="auto" w:fill="FFFFFF"/>
        <w:spacing w:after="0" w:line="240" w:lineRule="auto"/>
        <w:ind w:firstLine="426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 Програми дасть змогу протягом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 w:rsidR="002D7E5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років:</w:t>
      </w:r>
    </w:p>
    <w:p w14:paraId="520230EF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підняти рівень культурного обслуговування населення;</w:t>
      </w:r>
    </w:p>
    <w:p w14:paraId="391C1412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регулювання фінансової підтримки закладів культури та їх реорганізації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основни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ів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розвитку культури Чортківської міської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53AC8D0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розширити доступ до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історико-культурних цінностей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3697F9" w14:textId="77777777" w:rsidR="004A19BC" w:rsidRPr="00A4078D" w:rsidRDefault="009B366F" w:rsidP="00DB481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забезпечити подальший розвиток мистецтва, створення нових мистецьких ініціатив і проектів;</w:t>
      </w:r>
    </w:p>
    <w:p w14:paraId="3870FF14" w14:textId="77777777"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вдосконалити роботу бібліоте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активізувати розвиток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>навиків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читання шляхом технічного забезпечення закладів та </w:t>
      </w:r>
      <w:r w:rsidRPr="00A4078D">
        <w:rPr>
          <w:rFonts w:ascii="Times New Roman" w:eastAsia="Times New Roman" w:hAnsi="Times New Roman" w:cs="Times New Roman"/>
          <w:sz w:val="28"/>
          <w:szCs w:val="28"/>
        </w:rPr>
        <w:t xml:space="preserve">впровадження програм електронного каталогу </w:t>
      </w: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та м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ережевого доступу для читачів 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F67103" w14:textId="77777777"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здійснювати підтримку бібліотечних фондів, популяризувати літературні видання та новітні твори;</w:t>
      </w:r>
    </w:p>
    <w:p w14:paraId="465A7C9F" w14:textId="77777777" w:rsidR="004A19BC" w:rsidRPr="00A4078D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розвиток книговидання;</w:t>
      </w:r>
    </w:p>
    <w:p w14:paraId="186BB542" w14:textId="77777777" w:rsidR="004A19BC" w:rsidRPr="00EC238E" w:rsidRDefault="009B366F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задовольняти творчі потреби громадян, їх естетичне виховання, розвиток, збагачення духовного потенціалу через проведення масових, концерт</w:t>
      </w:r>
      <w:r w:rsidR="00A40945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них і культурологічних заходів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Чортківської міської територіальної громади</w:t>
      </w:r>
      <w:r w:rsidR="00EC238E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EC238E" w:rsidRPr="00EC2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715621D" w14:textId="77777777" w:rsidR="00EC238E" w:rsidRPr="00EC238E" w:rsidRDefault="00A40945" w:rsidP="00E918A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активізувати участь </w:t>
      </w:r>
      <w:r w:rsidR="00EC238E">
        <w:rPr>
          <w:rFonts w:ascii="Times New Roman" w:eastAsia="Times New Roman" w:hAnsi="Times New Roman" w:cs="Times New Roman"/>
          <w:color w:val="000000"/>
          <w:sz w:val="28"/>
          <w:szCs w:val="28"/>
        </w:rPr>
        <w:t>громади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обласних культурних проектах,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918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ультурно- 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інформаційному обміні з іншими територіальними громадами </w:t>
      </w:r>
      <w:r w:rsidR="009B366F" w:rsidRPr="00A4078D">
        <w:rPr>
          <w:rFonts w:ascii="Times New Roman" w:eastAsia="Times New Roman" w:hAnsi="Times New Roman" w:cs="Times New Roman"/>
          <w:sz w:val="28"/>
          <w:szCs w:val="28"/>
        </w:rPr>
        <w:t>України та з-за кордону</w:t>
      </w:r>
      <w:r w:rsidR="009B366F" w:rsidRPr="00A407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A61FB22" w14:textId="77777777" w:rsidR="00EC238E" w:rsidRDefault="00EC238E" w:rsidP="00A4078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BEBFFEC" w14:textId="77777777" w:rsidR="00E918A4" w:rsidRDefault="00E918A4" w:rsidP="00C503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C5DFE4" w14:textId="77777777" w:rsidR="00C503AD" w:rsidRPr="00C503AD" w:rsidRDefault="00C503AD" w:rsidP="00C503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03AD">
        <w:rPr>
          <w:rFonts w:ascii="Times New Roman" w:hAnsi="Times New Roman" w:cs="Times New Roman"/>
          <w:b/>
          <w:sz w:val="28"/>
          <w:szCs w:val="28"/>
        </w:rPr>
        <w:t xml:space="preserve">Керуюча справами </w:t>
      </w:r>
    </w:p>
    <w:p w14:paraId="5D2B220A" w14:textId="77777777" w:rsidR="00C503AD" w:rsidRDefault="00C503AD" w:rsidP="00C503A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503AD">
        <w:rPr>
          <w:rFonts w:ascii="Times New Roman" w:hAnsi="Times New Roman" w:cs="Times New Roman"/>
          <w:b/>
          <w:sz w:val="28"/>
          <w:szCs w:val="28"/>
        </w:rPr>
        <w:t>виконавчого комітету міської ради</w:t>
      </w:r>
      <w:r w:rsidRPr="00C503AD">
        <w:rPr>
          <w:rFonts w:ascii="Times New Roman" w:hAnsi="Times New Roman" w:cs="Times New Roman"/>
          <w:b/>
          <w:sz w:val="28"/>
          <w:szCs w:val="28"/>
        </w:rPr>
        <w:tab/>
      </w:r>
      <w:r w:rsidRPr="00C503AD">
        <w:rPr>
          <w:rFonts w:ascii="Times New Roman" w:hAnsi="Times New Roman" w:cs="Times New Roman"/>
          <w:b/>
          <w:sz w:val="28"/>
          <w:szCs w:val="28"/>
        </w:rPr>
        <w:tab/>
        <w:t xml:space="preserve">      Ольга ЧЕРЕМШИНСЬКА</w:t>
      </w:r>
      <w:r w:rsidRPr="00C503A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5AC5CF45" w14:textId="77777777" w:rsidR="00B616AE" w:rsidRDefault="00B616AE" w:rsidP="00A4078D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B616AE" w:rsidSect="003818EC">
      <w:pgSz w:w="11906" w:h="16838"/>
      <w:pgMar w:top="1134" w:right="567" w:bottom="1134" w:left="1701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3AA8"/>
    <w:multiLevelType w:val="hybridMultilevel"/>
    <w:tmpl w:val="E0E2CF76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34CCB"/>
    <w:multiLevelType w:val="multilevel"/>
    <w:tmpl w:val="81867F5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F04CEA"/>
    <w:multiLevelType w:val="hybridMultilevel"/>
    <w:tmpl w:val="F30C9B9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83A0A"/>
    <w:multiLevelType w:val="multilevel"/>
    <w:tmpl w:val="8D1E38CC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46B24D83"/>
    <w:multiLevelType w:val="hybridMultilevel"/>
    <w:tmpl w:val="A4307622"/>
    <w:lvl w:ilvl="0" w:tplc="0422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63A63"/>
    <w:multiLevelType w:val="hybridMultilevel"/>
    <w:tmpl w:val="4A2271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201E3"/>
    <w:multiLevelType w:val="hybridMultilevel"/>
    <w:tmpl w:val="E50CB5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F5FC9"/>
    <w:multiLevelType w:val="hybridMultilevel"/>
    <w:tmpl w:val="FF285C94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05AC1"/>
    <w:multiLevelType w:val="hybridMultilevel"/>
    <w:tmpl w:val="DB38A7E0"/>
    <w:lvl w:ilvl="0" w:tplc="565C75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157630">
    <w:abstractNumId w:val="3"/>
  </w:num>
  <w:num w:numId="2" w16cid:durableId="948659969">
    <w:abstractNumId w:val="1"/>
  </w:num>
  <w:num w:numId="3" w16cid:durableId="933048856">
    <w:abstractNumId w:val="4"/>
  </w:num>
  <w:num w:numId="4" w16cid:durableId="1518733523">
    <w:abstractNumId w:val="8"/>
  </w:num>
  <w:num w:numId="5" w16cid:durableId="1496727834">
    <w:abstractNumId w:val="7"/>
  </w:num>
  <w:num w:numId="6" w16cid:durableId="722752929">
    <w:abstractNumId w:val="5"/>
  </w:num>
  <w:num w:numId="7" w16cid:durableId="877014273">
    <w:abstractNumId w:val="6"/>
  </w:num>
  <w:num w:numId="8" w16cid:durableId="1449200710">
    <w:abstractNumId w:val="0"/>
  </w:num>
  <w:num w:numId="9" w16cid:durableId="1831361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BC"/>
    <w:rsid w:val="00061505"/>
    <w:rsid w:val="000D20D2"/>
    <w:rsid w:val="0010413D"/>
    <w:rsid w:val="00174BE2"/>
    <w:rsid w:val="001A726F"/>
    <w:rsid w:val="002169BA"/>
    <w:rsid w:val="00277C59"/>
    <w:rsid w:val="002D7E56"/>
    <w:rsid w:val="00333B8A"/>
    <w:rsid w:val="00374708"/>
    <w:rsid w:val="003818EC"/>
    <w:rsid w:val="00393B51"/>
    <w:rsid w:val="003E43FC"/>
    <w:rsid w:val="00442B74"/>
    <w:rsid w:val="00475EB8"/>
    <w:rsid w:val="004A19BC"/>
    <w:rsid w:val="004E3E4E"/>
    <w:rsid w:val="0055133B"/>
    <w:rsid w:val="005B5E86"/>
    <w:rsid w:val="006018FD"/>
    <w:rsid w:val="0060509F"/>
    <w:rsid w:val="00622E0D"/>
    <w:rsid w:val="00667431"/>
    <w:rsid w:val="00681B79"/>
    <w:rsid w:val="00695005"/>
    <w:rsid w:val="00722A49"/>
    <w:rsid w:val="007B16E9"/>
    <w:rsid w:val="007E4ADA"/>
    <w:rsid w:val="00804113"/>
    <w:rsid w:val="00840F0A"/>
    <w:rsid w:val="008967FC"/>
    <w:rsid w:val="008A161C"/>
    <w:rsid w:val="00940BA4"/>
    <w:rsid w:val="009617C9"/>
    <w:rsid w:val="009922D1"/>
    <w:rsid w:val="009B257F"/>
    <w:rsid w:val="009B366F"/>
    <w:rsid w:val="009C2A21"/>
    <w:rsid w:val="00A07163"/>
    <w:rsid w:val="00A36245"/>
    <w:rsid w:val="00A4078D"/>
    <w:rsid w:val="00A40945"/>
    <w:rsid w:val="00A628E3"/>
    <w:rsid w:val="00A85699"/>
    <w:rsid w:val="00AB6948"/>
    <w:rsid w:val="00AB7764"/>
    <w:rsid w:val="00AC2743"/>
    <w:rsid w:val="00B3099F"/>
    <w:rsid w:val="00B511CC"/>
    <w:rsid w:val="00B616AE"/>
    <w:rsid w:val="00B8058A"/>
    <w:rsid w:val="00BA268B"/>
    <w:rsid w:val="00BD1401"/>
    <w:rsid w:val="00C16F79"/>
    <w:rsid w:val="00C503AD"/>
    <w:rsid w:val="00C70476"/>
    <w:rsid w:val="00C969C7"/>
    <w:rsid w:val="00CC6F1A"/>
    <w:rsid w:val="00CD06B2"/>
    <w:rsid w:val="00D11C43"/>
    <w:rsid w:val="00D93457"/>
    <w:rsid w:val="00D9358A"/>
    <w:rsid w:val="00DA0D2A"/>
    <w:rsid w:val="00DB4812"/>
    <w:rsid w:val="00DD0451"/>
    <w:rsid w:val="00DF2322"/>
    <w:rsid w:val="00E06D52"/>
    <w:rsid w:val="00E164CE"/>
    <w:rsid w:val="00E918A4"/>
    <w:rsid w:val="00EC238E"/>
    <w:rsid w:val="00F13034"/>
    <w:rsid w:val="00F85797"/>
    <w:rsid w:val="00F85DE1"/>
    <w:rsid w:val="00F866A7"/>
    <w:rsid w:val="00FC053F"/>
    <w:rsid w:val="00FC141B"/>
    <w:rsid w:val="00FD1A2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A161"/>
  <w15:docId w15:val="{BBE18754-FF94-48D5-9EF0-502B5298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53C"/>
  </w:style>
  <w:style w:type="paragraph" w:styleId="1">
    <w:name w:val="heading 1"/>
    <w:basedOn w:val="10"/>
    <w:next w:val="10"/>
    <w:rsid w:val="004A19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A19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A19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A19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A19B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A19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4A19BC"/>
  </w:style>
  <w:style w:type="table" w:customStyle="1" w:styleId="TableNormal">
    <w:name w:val="Table Normal"/>
    <w:rsid w:val="004A19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A19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AB3FB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52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Subtitle"/>
    <w:basedOn w:val="10"/>
    <w:next w:val="10"/>
    <w:rsid w:val="004A19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rsid w:val="004A19BC"/>
    <w:tblPr>
      <w:tblStyleRowBandSize w:val="1"/>
      <w:tblStyleColBandSize w:val="1"/>
    </w:tblPr>
  </w:style>
  <w:style w:type="table" w:customStyle="1" w:styleId="a8">
    <w:basedOn w:val="TableNormal"/>
    <w:rsid w:val="004A19BC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ifwm/d+pDrde3ksnz8OGlcI5Q==">AMUW2mWSNltNVhCD442708Dw5uIdoZUvSn+hL++oXZ/N8IAd7faod9J0X7gBhOXaXq7PdzeO5+t3lyv+kPOsh6GI0QCK462i2Vnabv0AcYSRWtV/ONexHY7UIYp0Xoj7ZUpxpU+7Lxpi</go:docsCustomData>
</go:gDocsCustomXmlDataStorage>
</file>

<file path=customXml/itemProps1.xml><?xml version="1.0" encoding="utf-8"?>
<ds:datastoreItem xmlns:ds="http://schemas.openxmlformats.org/officeDocument/2006/customXml" ds:itemID="{A0FC9F00-F06D-4BCF-8F66-739146B1E4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5854</Words>
  <Characters>3338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Черемшинська</cp:lastModifiedBy>
  <cp:revision>2</cp:revision>
  <cp:lastPrinted>2025-08-19T13:58:00Z</cp:lastPrinted>
  <dcterms:created xsi:type="dcterms:W3CDTF">2025-08-25T07:14:00Z</dcterms:created>
  <dcterms:modified xsi:type="dcterms:W3CDTF">2025-08-25T07:14:00Z</dcterms:modified>
</cp:coreProperties>
</file>