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D94E" w14:textId="744922BA" w:rsidR="00DC5F76" w:rsidRPr="0007153D" w:rsidRDefault="00DC5F76" w:rsidP="00DC5F76">
      <w:pPr>
        <w:pStyle w:val="1"/>
        <w:tabs>
          <w:tab w:val="left" w:pos="581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7153D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153D">
        <w:rPr>
          <w:rFonts w:ascii="Times New Roman" w:hAnsi="Times New Roman"/>
          <w:b/>
          <w:bCs/>
          <w:sz w:val="28"/>
          <w:szCs w:val="28"/>
        </w:rPr>
        <w:t>Додаток</w:t>
      </w:r>
    </w:p>
    <w:p w14:paraId="37F34DB8" w14:textId="34E320EA" w:rsidR="00DC5F76" w:rsidRPr="0007153D" w:rsidRDefault="00DC5F76" w:rsidP="00DC5F76">
      <w:pPr>
        <w:pStyle w:val="1"/>
        <w:tabs>
          <w:tab w:val="left" w:pos="623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7153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r w:rsidR="0007153D" w:rsidRPr="0007153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07153D">
        <w:rPr>
          <w:rFonts w:ascii="Times New Roman" w:hAnsi="Times New Roman"/>
          <w:b/>
          <w:bCs/>
          <w:sz w:val="28"/>
          <w:szCs w:val="28"/>
        </w:rPr>
        <w:t xml:space="preserve">   до  рішення міської ради</w:t>
      </w:r>
    </w:p>
    <w:p w14:paraId="0BF95128" w14:textId="619EAB41" w:rsidR="00DC5F76" w:rsidRPr="0007153D" w:rsidRDefault="00DC5F76" w:rsidP="00DC5F76">
      <w:pPr>
        <w:pStyle w:val="1"/>
        <w:tabs>
          <w:tab w:val="left" w:pos="623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7153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r w:rsidR="00382F97" w:rsidRPr="0007153D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07153D" w:rsidRPr="0007153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07153D">
        <w:rPr>
          <w:rFonts w:ascii="Times New Roman" w:hAnsi="Times New Roman"/>
          <w:b/>
          <w:bCs/>
          <w:sz w:val="28"/>
          <w:szCs w:val="28"/>
        </w:rPr>
        <w:t xml:space="preserve">  від </w:t>
      </w:r>
      <w:r w:rsidR="00382F97" w:rsidRPr="000715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153D" w:rsidRPr="0007153D">
        <w:rPr>
          <w:rFonts w:ascii="Times New Roman" w:hAnsi="Times New Roman"/>
          <w:b/>
          <w:bCs/>
          <w:sz w:val="28"/>
          <w:szCs w:val="28"/>
        </w:rPr>
        <w:t>20</w:t>
      </w:r>
      <w:r w:rsidR="00382F97" w:rsidRPr="0007153D">
        <w:rPr>
          <w:rFonts w:ascii="Times New Roman" w:hAnsi="Times New Roman"/>
          <w:b/>
          <w:bCs/>
          <w:sz w:val="28"/>
          <w:szCs w:val="28"/>
        </w:rPr>
        <w:t xml:space="preserve">  лютого </w:t>
      </w:r>
      <w:r w:rsidRPr="0007153D">
        <w:rPr>
          <w:rFonts w:ascii="Times New Roman" w:hAnsi="Times New Roman"/>
          <w:b/>
          <w:bCs/>
          <w:sz w:val="28"/>
          <w:szCs w:val="28"/>
        </w:rPr>
        <w:t>202</w:t>
      </w:r>
      <w:r w:rsidR="00382F97" w:rsidRPr="0007153D">
        <w:rPr>
          <w:rFonts w:ascii="Times New Roman" w:hAnsi="Times New Roman"/>
          <w:b/>
          <w:bCs/>
          <w:sz w:val="28"/>
          <w:szCs w:val="28"/>
        </w:rPr>
        <w:t>6</w:t>
      </w:r>
      <w:r w:rsidRPr="0007153D">
        <w:rPr>
          <w:rFonts w:ascii="Times New Roman" w:hAnsi="Times New Roman"/>
          <w:b/>
          <w:bCs/>
          <w:sz w:val="28"/>
          <w:szCs w:val="28"/>
        </w:rPr>
        <w:t xml:space="preserve"> року № </w:t>
      </w:r>
      <w:r w:rsidR="0007153D" w:rsidRPr="0007153D">
        <w:rPr>
          <w:rFonts w:ascii="Times New Roman" w:hAnsi="Times New Roman"/>
          <w:b/>
          <w:bCs/>
          <w:sz w:val="28"/>
          <w:szCs w:val="28"/>
        </w:rPr>
        <w:t>2955</w:t>
      </w:r>
    </w:p>
    <w:p w14:paraId="76AB1FAE" w14:textId="77777777" w:rsidR="00DC5F76" w:rsidRDefault="00DC5F76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</w:p>
    <w:p w14:paraId="1DEB403D" w14:textId="77777777"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14:paraId="650C1888" w14:textId="77777777"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Пільги встановлюються</w:t>
      </w:r>
      <w:r w:rsidR="00DC5F76">
        <w:rPr>
          <w:rFonts w:ascii="Times New Roman" w:hAnsi="Times New Roman"/>
          <w:sz w:val="28"/>
          <w:szCs w:val="28"/>
        </w:rPr>
        <w:t xml:space="preserve"> на</w:t>
      </w: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A6B38" w:rsidRPr="005D1EF6">
        <w:rPr>
          <w:rFonts w:ascii="Times New Roman" w:hAnsi="Times New Roman"/>
          <w:sz w:val="28"/>
          <w:szCs w:val="28"/>
        </w:rPr>
        <w:t>території Чортківської міської територіальної громади</w:t>
      </w:r>
    </w:p>
    <w:p w14:paraId="1C161856" w14:textId="77777777"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DD32D9">
        <w:rPr>
          <w:rFonts w:ascii="Times New Roman" w:hAnsi="Times New Roman"/>
          <w:sz w:val="28"/>
          <w:szCs w:val="28"/>
        </w:rPr>
        <w:t>3</w:t>
      </w:r>
      <w:r w:rsidRPr="005D1EF6">
        <w:rPr>
          <w:rFonts w:ascii="Times New Roman" w:hAnsi="Times New Roman"/>
          <w:sz w:val="28"/>
          <w:szCs w:val="28"/>
        </w:rPr>
        <w:t xml:space="preserve"> року.</w:t>
      </w:r>
    </w:p>
    <w:p w14:paraId="16B0698C" w14:textId="77777777"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14:paraId="507585DA" w14:textId="77777777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CC38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833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DC9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904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14:paraId="1CBAB482" w14:textId="77777777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EF8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3CF8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1C4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6B7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14:paraId="257A77F4" w14:textId="77777777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939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A5382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96E4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BA0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14:paraId="30210C4C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826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FEDE1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49E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02F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14:paraId="2F00EF2E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958C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3292D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D00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80B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14:paraId="2C0D5AF4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81BD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21B2F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6A6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2092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14:paraId="50F1785F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1B4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E6E6C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A33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14:paraId="620CDEC2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9637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14:paraId="38C92A57" w14:textId="77777777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3BDC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4A9B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903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D22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14:paraId="5698F65E" w14:textId="77777777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CCC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A2A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075A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41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14:paraId="45305B53" w14:textId="77777777"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14:paraId="5BA32DB5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5D8F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320F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14:paraId="651321A6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4CE" w14:textId="77777777"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E376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3B8A8DFD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9D8" w14:textId="77777777" w:rsidR="00BE6942" w:rsidRP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-об’єкти житлової нерухомості, в тому числі їх частки, учасників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 ООС</w:t>
            </w:r>
            <w:r w:rsidR="0022597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lang w:eastAsia="ru-RU"/>
              </w:rPr>
              <w:t xml:space="preserve"> 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Ветерани війни, Учасники бойових дій </w:t>
            </w:r>
            <w:r w:rsidR="000E59E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E59EB" w:rsidRPr="000E59EB">
              <w:rPr>
                <w:rFonts w:ascii="Times New Roman" w:hAnsi="Times New Roman"/>
                <w:color w:val="000000"/>
                <w:sz w:val="28"/>
                <w:szCs w:val="28"/>
              </w:rPr>
              <w:t>безвісті зниклих</w:t>
            </w:r>
            <w:r w:rsidR="000E59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військовослужбовців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членів їх сімей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членів сімей загиблих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безвісті </w:t>
            </w:r>
            <w:r w:rsidR="00AC4778">
              <w:rPr>
                <w:rFonts w:ascii="Times New Roman" w:hAnsi="Times New Roman"/>
                <w:color w:val="000000"/>
                <w:sz w:val="28"/>
                <w:szCs w:val="28"/>
              </w:rPr>
              <w:t>зниклих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 час участі 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,ООС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14A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Війні, Бойових діях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мешканців</w:t>
            </w:r>
            <w:r w:rsidR="00095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Чортківської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C4778" w:rsidRPr="00AC4778">
              <w:t xml:space="preserve"> </w:t>
            </w:r>
            <w:r w:rsidR="00AC4778" w:rsidRPr="00AC4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C4778" w:rsidRPr="00AC47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один об’єкт житлової нерухомості за вибором отримувача пільги (за площу, яка перевищує пільгову, встановлену ст. 266.4 Податкового кодексу України)</w:t>
            </w:r>
            <w:r w:rsidR="00AC4778" w:rsidRPr="00AC47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376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5B3216E4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FE9F" w14:textId="77777777"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Чортківської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0030" w14:textId="77777777"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14:paraId="55B07B6A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06C" w14:textId="77777777"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EFAB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31A0AF58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7AEE" w14:textId="77777777"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EC1B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14:paraId="2099942A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D5C641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2391E4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14:paraId="66D195CD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2CC" w14:textId="77777777"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7886" w14:textId="77777777"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116CD3AF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14:paraId="17019DDE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14:paraId="34121774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14:paraId="351A93C2" w14:textId="77777777"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57A3526A" w14:textId="77777777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</w:t>
      </w:r>
      <w:r w:rsidR="005D1E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Ярослав  ДЗИНДРА </w:t>
      </w:r>
    </w:p>
    <w:p w14:paraId="2F9D9DA7" w14:textId="77777777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4CB5CDC8" w14:textId="77777777"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14:paraId="75A461BF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E46D266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E027031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7E96D92B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7C1650DC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7F290D11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64E73CD6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1615BABB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5AA95B5E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2E231145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125A6208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306F77D7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3F555004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6EB8C49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B"/>
    <w:rsid w:val="0003670C"/>
    <w:rsid w:val="0007153D"/>
    <w:rsid w:val="00072BC0"/>
    <w:rsid w:val="000934A8"/>
    <w:rsid w:val="00095403"/>
    <w:rsid w:val="000E59EB"/>
    <w:rsid w:val="00101E2C"/>
    <w:rsid w:val="00107172"/>
    <w:rsid w:val="001C05E1"/>
    <w:rsid w:val="001C5814"/>
    <w:rsid w:val="00225971"/>
    <w:rsid w:val="00241CAF"/>
    <w:rsid w:val="00276424"/>
    <w:rsid w:val="002B72F7"/>
    <w:rsid w:val="00346EDB"/>
    <w:rsid w:val="00382F97"/>
    <w:rsid w:val="003E0650"/>
    <w:rsid w:val="00403FFA"/>
    <w:rsid w:val="00430E1A"/>
    <w:rsid w:val="00486824"/>
    <w:rsid w:val="005A3E8E"/>
    <w:rsid w:val="005D1EF6"/>
    <w:rsid w:val="005E4DD4"/>
    <w:rsid w:val="00644020"/>
    <w:rsid w:val="006D3A7A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7B19"/>
    <w:rsid w:val="00A4600E"/>
    <w:rsid w:val="00A61E5E"/>
    <w:rsid w:val="00AB4A07"/>
    <w:rsid w:val="00AC4778"/>
    <w:rsid w:val="00AD33F5"/>
    <w:rsid w:val="00B4559E"/>
    <w:rsid w:val="00B5746F"/>
    <w:rsid w:val="00BA6B38"/>
    <w:rsid w:val="00BE6942"/>
    <w:rsid w:val="00C616EB"/>
    <w:rsid w:val="00C83D61"/>
    <w:rsid w:val="00CC6669"/>
    <w:rsid w:val="00CF7F65"/>
    <w:rsid w:val="00D14A94"/>
    <w:rsid w:val="00DC5F76"/>
    <w:rsid w:val="00DD32D9"/>
    <w:rsid w:val="00DE7BCB"/>
    <w:rsid w:val="00E66A04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A035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  <w:style w:type="paragraph" w:customStyle="1" w:styleId="1">
    <w:name w:val="Без интервала1"/>
    <w:qFormat/>
    <w:rsid w:val="00DC5F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7</cp:revision>
  <cp:lastPrinted>2026-02-26T08:57:00Z</cp:lastPrinted>
  <dcterms:created xsi:type="dcterms:W3CDTF">2026-02-09T10:24:00Z</dcterms:created>
  <dcterms:modified xsi:type="dcterms:W3CDTF">2026-02-26T09:17:00Z</dcterms:modified>
</cp:coreProperties>
</file>