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1A92" w14:textId="77777777" w:rsidR="00346EDB" w:rsidRDefault="00486824" w:rsidP="005D1EF6">
      <w:pPr>
        <w:pStyle w:val="ShapkaDocumentu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346EDB">
        <w:rPr>
          <w:rFonts w:ascii="Times New Roman" w:hAnsi="Times New Roman"/>
          <w:b/>
          <w:sz w:val="28"/>
          <w:szCs w:val="28"/>
        </w:rPr>
        <w:t xml:space="preserve">Додаток </w:t>
      </w:r>
      <w:r w:rsidR="00832F9F">
        <w:rPr>
          <w:rFonts w:ascii="Times New Roman" w:hAnsi="Times New Roman"/>
          <w:b/>
          <w:sz w:val="28"/>
          <w:szCs w:val="28"/>
        </w:rPr>
        <w:t>3</w:t>
      </w:r>
    </w:p>
    <w:p w14:paraId="19AD3EF0" w14:textId="5070815B" w:rsidR="00346EDB" w:rsidRPr="00E06AB8" w:rsidRDefault="00486824" w:rsidP="005D1EF6">
      <w:pPr>
        <w:pStyle w:val="ShapkaDocumentu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до рішення  міської ради </w:t>
      </w:r>
    </w:p>
    <w:p w14:paraId="2654463F" w14:textId="5A63ABBB" w:rsidR="00346EDB" w:rsidRPr="00E06AB8" w:rsidRDefault="0003670C" w:rsidP="0003670C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111DF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111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07172">
        <w:rPr>
          <w:rFonts w:ascii="Times New Roman" w:hAnsi="Times New Roman"/>
          <w:b/>
          <w:sz w:val="28"/>
          <w:szCs w:val="28"/>
        </w:rPr>
        <w:t xml:space="preserve">від </w:t>
      </w:r>
      <w:r w:rsidR="004111DF">
        <w:rPr>
          <w:rFonts w:ascii="Times New Roman" w:hAnsi="Times New Roman"/>
          <w:b/>
          <w:sz w:val="28"/>
          <w:szCs w:val="28"/>
        </w:rPr>
        <w:t xml:space="preserve">20 лютого </w:t>
      </w:r>
      <w:r w:rsidR="00346EDB" w:rsidRPr="00E06AB8">
        <w:rPr>
          <w:rFonts w:ascii="Times New Roman" w:hAnsi="Times New Roman"/>
          <w:b/>
          <w:sz w:val="28"/>
          <w:szCs w:val="28"/>
        </w:rPr>
        <w:t>20</w:t>
      </w:r>
      <w:r w:rsidR="00644020">
        <w:rPr>
          <w:rFonts w:ascii="Times New Roman" w:hAnsi="Times New Roman"/>
          <w:b/>
          <w:sz w:val="28"/>
          <w:szCs w:val="28"/>
        </w:rPr>
        <w:t>2</w:t>
      </w:r>
      <w:r w:rsidR="00B5746F">
        <w:rPr>
          <w:rFonts w:ascii="Times New Roman" w:hAnsi="Times New Roman"/>
          <w:b/>
          <w:sz w:val="28"/>
          <w:szCs w:val="28"/>
        </w:rPr>
        <w:t>5</w:t>
      </w:r>
      <w:r w:rsidR="00346EDB">
        <w:rPr>
          <w:rFonts w:ascii="Times New Roman" w:hAnsi="Times New Roman"/>
          <w:b/>
          <w:sz w:val="28"/>
          <w:szCs w:val="28"/>
        </w:rPr>
        <w:t xml:space="preserve"> р </w:t>
      </w:r>
      <w:r w:rsidR="00346EDB" w:rsidRPr="00E06AB8">
        <w:rPr>
          <w:rFonts w:ascii="Times New Roman" w:hAnsi="Times New Roman"/>
          <w:b/>
          <w:sz w:val="28"/>
          <w:szCs w:val="28"/>
        </w:rPr>
        <w:t xml:space="preserve"> №</w:t>
      </w:r>
      <w:r w:rsidR="004111DF">
        <w:rPr>
          <w:rFonts w:ascii="Times New Roman" w:hAnsi="Times New Roman"/>
          <w:b/>
          <w:sz w:val="28"/>
          <w:szCs w:val="28"/>
        </w:rPr>
        <w:t>2956</w:t>
      </w:r>
    </w:p>
    <w:p w14:paraId="0A179630" w14:textId="77777777" w:rsidR="00BE6942" w:rsidRPr="005D1EF6" w:rsidRDefault="00BE6942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ПЕРЕЛІК</w:t>
      </w:r>
      <w:r w:rsidRPr="005D1EF6"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5D1EF6">
        <w:rPr>
          <w:rFonts w:ascii="Times New Roman" w:hAnsi="Times New Roman"/>
          <w:sz w:val="28"/>
          <w:szCs w:val="28"/>
          <w:vertAlign w:val="superscript"/>
        </w:rPr>
        <w:t>1</w:t>
      </w:r>
    </w:p>
    <w:p w14:paraId="45E964DD" w14:textId="77777777" w:rsidR="000934A8" w:rsidRPr="005D1EF6" w:rsidRDefault="00BE6942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 xml:space="preserve">Пільги встановлюються </w:t>
      </w:r>
      <w:r w:rsidR="00BA6B38" w:rsidRPr="005D1EF6">
        <w:rPr>
          <w:rFonts w:ascii="Times New Roman" w:hAnsi="Times New Roman"/>
          <w:sz w:val="28"/>
          <w:szCs w:val="28"/>
        </w:rPr>
        <w:t>території Чортківської міської територіальної громади</w:t>
      </w:r>
    </w:p>
    <w:p w14:paraId="25CF3952" w14:textId="77777777" w:rsidR="000934A8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та вводиться в дію з 01.01.202</w:t>
      </w:r>
      <w:r w:rsidR="00DD32D9">
        <w:rPr>
          <w:rFonts w:ascii="Times New Roman" w:hAnsi="Times New Roman"/>
          <w:sz w:val="28"/>
          <w:szCs w:val="28"/>
        </w:rPr>
        <w:t>3</w:t>
      </w:r>
      <w:r w:rsidRPr="005D1EF6">
        <w:rPr>
          <w:rFonts w:ascii="Times New Roman" w:hAnsi="Times New Roman"/>
          <w:sz w:val="28"/>
          <w:szCs w:val="28"/>
        </w:rPr>
        <w:t xml:space="preserve"> року.</w:t>
      </w:r>
    </w:p>
    <w:p w14:paraId="19D6B9C3" w14:textId="77777777" w:rsidR="005D1EF6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D1EF6">
        <w:rPr>
          <w:rFonts w:ascii="Times New Roman" w:hAnsi="Times New Roman"/>
          <w:sz w:val="28"/>
          <w:szCs w:val="28"/>
        </w:rPr>
        <w:t xml:space="preserve"> </w:t>
      </w:r>
      <w:r w:rsidR="00BE6942" w:rsidRPr="005D1EF6"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3119"/>
        <w:gridCol w:w="5386"/>
      </w:tblGrid>
      <w:tr w:rsidR="005D1EF6" w:rsidRPr="005D1EF6" w14:paraId="2A3310AE" w14:textId="77777777" w:rsidTr="005728CE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1F71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1556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2B34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Код КОАТУУ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551C" w14:textId="77777777"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Назва</w:t>
            </w:r>
            <w:proofErr w:type="spellEnd"/>
          </w:p>
        </w:tc>
      </w:tr>
      <w:tr w:rsidR="005D1EF6" w:rsidRPr="005D1EF6" w14:paraId="5461B390" w14:textId="77777777" w:rsidTr="005728CE">
        <w:trPr>
          <w:trHeight w:val="3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3A048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UA61000000000060328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89F0D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UA61060430000094264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BF10" w14:textId="77777777"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  <w:t>UA61060430010047348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711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м.Чортків</w:t>
            </w:r>
            <w:proofErr w:type="spellEnd"/>
          </w:p>
        </w:tc>
      </w:tr>
      <w:tr w:rsidR="005D1EF6" w:rsidRPr="005D1EF6" w14:paraId="2C18B3FE" w14:textId="77777777" w:rsidTr="005728CE">
        <w:trPr>
          <w:trHeight w:val="52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273BA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E8D4D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7792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UA61060430030047862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983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с.Біла Чортківського району Тернопільської обл.</w:t>
            </w:r>
          </w:p>
        </w:tc>
      </w:tr>
      <w:tr w:rsidR="005D1EF6" w:rsidRPr="005D1EF6" w14:paraId="2411401D" w14:textId="77777777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E31A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2F63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EC17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UA61060430020098542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366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с.Бичківці Чортківського райоу Тернопільської обл. </w:t>
            </w:r>
          </w:p>
        </w:tc>
      </w:tr>
      <w:tr w:rsidR="005D1EF6" w:rsidRPr="005D1EF6" w14:paraId="5FA06B3E" w14:textId="77777777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56D21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86799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45E8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UA61060430040088722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948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с.Горішня Вигнанка Чортківського району Тернопільської.обл</w:t>
            </w:r>
          </w:p>
        </w:tc>
      </w:tr>
      <w:tr w:rsidR="005D1EF6" w:rsidRPr="005D1EF6" w14:paraId="4A464446" w14:textId="77777777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F0C6E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CA8D0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E6A9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UA61060430050075892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CF4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 xml:space="preserve">с.Пастуше Чортківського району Тернопільської обл. </w:t>
            </w:r>
          </w:p>
        </w:tc>
      </w:tr>
      <w:tr w:rsidR="005D1EF6" w:rsidRPr="005D1EF6" w14:paraId="302A04BA" w14:textId="77777777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5FDC9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BF04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2BB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UA61060430070088102</w:t>
            </w:r>
          </w:p>
          <w:p w14:paraId="5ABFF773" w14:textId="77777777"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69D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с.Росохач Чортківського району Тернопілської обл</w:t>
            </w:r>
          </w:p>
        </w:tc>
      </w:tr>
      <w:tr w:rsidR="005D1EF6" w:rsidRPr="005D1EF6" w14:paraId="0BDDD409" w14:textId="77777777" w:rsidTr="005728CE">
        <w:trPr>
          <w:trHeight w:val="60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4162E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3CEE8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7F36" w14:textId="77777777"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UA61060430080074772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7CC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.Скородинці Чортківського району Терн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опільської 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.обл</w:t>
            </w:r>
          </w:p>
        </w:tc>
      </w:tr>
      <w:tr w:rsidR="005D1EF6" w:rsidRPr="005D1EF6" w14:paraId="1D383D92" w14:textId="77777777" w:rsidTr="005728CE">
        <w:trPr>
          <w:trHeight w:val="857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1637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79E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7DB" w14:textId="77777777"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UA61060430060047442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A622" w14:textId="77777777"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с.Переходи Чортківського району Тернопільської області </w:t>
            </w:r>
          </w:p>
        </w:tc>
      </w:tr>
    </w:tbl>
    <w:p w14:paraId="119ECE01" w14:textId="77777777" w:rsidR="00BE6942" w:rsidRPr="005D1EF6" w:rsidRDefault="00BE6942" w:rsidP="00BE694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3"/>
        <w:gridCol w:w="4167"/>
      </w:tblGrid>
      <w:tr w:rsidR="00BE6942" w14:paraId="6BB6FBC9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A62D" w14:textId="77777777"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Група платників, категорія/класифікація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будівель та споруд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D77" w14:textId="77777777"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Розмір пільги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(відсотків суми податкового зобов’язання за рік)</w:t>
            </w:r>
          </w:p>
        </w:tc>
      </w:tr>
      <w:tr w:rsidR="00BE6942" w14:paraId="49BACBFD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38A4" w14:textId="77777777" w:rsidR="00BE6942" w:rsidRPr="005D1EF6" w:rsidRDefault="00A07B19" w:rsidP="005D1EF6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E6942">
              <w:rPr>
                <w:rFonts w:ascii="Times New Roman" w:hAnsi="Times New Roman"/>
                <w:color w:val="000000"/>
                <w:sz w:val="28"/>
                <w:szCs w:val="28"/>
              </w:rPr>
              <w:t>б’єкти нежитлової нерухомості некомерційного призначення фізичних осіб, які знаходяться виключно в межах присадибних ділянок;</w:t>
            </w:r>
            <w:r w:rsidRP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Така пільга не надається на об’єкти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D7B3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0C57CE17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7A36" w14:textId="77777777" w:rsidR="00BE6942" w:rsidRPr="00BE6942" w:rsidRDefault="00A11B15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A11B1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-об’єкти житлової нерухомості, в тому числі їх частки, учасників АТО, ООС, Ветерани війни, Учасники бойових дій , безвісті зниклих військовослужбовців та членів їх сімей, членів сімей загиблих та безвісті зниклих під час участі в АТО,ООС, в  Війні, Бойових діях  – мешканців Чортківської міської територіальної громади; , за один об’єкт житлової нерухомості за вибором отримувача пільги (за площу, яка перевищує пільгову, встановлену ст. 266.4 Податкового кодексу України).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202A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5140356B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123D" w14:textId="77777777" w:rsidR="00BE6942" w:rsidRPr="00E837B5" w:rsidRDefault="00BE6942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-об’єкти житлової та нежитлової нерухомості, які перебувають у власності комунальних</w:t>
            </w:r>
            <w:r w:rsidR="00AD33F5"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неприбуткових</w:t>
            </w: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підприємств Чортківської міської ради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6563" w14:textId="77777777" w:rsidR="00BE6942" w:rsidRPr="00E837B5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BE6942" w14:paraId="3440AA39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3B64" w14:textId="77777777" w:rsid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-об’єкти житлової нерухомості, в тому числі їх частки, що належать людям з інвалідністю ( І  група )</w:t>
            </w:r>
            <w:r w:rsidR="00AC4778" w:rsidRPr="00AC4778">
              <w:t xml:space="preserve"> </w:t>
            </w:r>
            <w:r w:rsidR="00AC4778" w:rsidRPr="00AC4778">
              <w:rPr>
                <w:lang w:val="ru-RU"/>
              </w:rPr>
              <w:t xml:space="preserve">, </w:t>
            </w:r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один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житлової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нерухомості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вибором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отримувача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пільги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перевищує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пільгову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ст. 266.4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Податкового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кодексу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AC4778" w:rsidRPr="00AC4778">
              <w:rPr>
                <w:lang w:val="ru-RU"/>
              </w:rPr>
              <w:t>)</w:t>
            </w:r>
            <w:r w:rsidR="00AC4778" w:rsidRPr="00AC4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25EB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14:paraId="63AE74A5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1E4E" w14:textId="77777777" w:rsidR="00BE6942" w:rsidRDefault="00BE6942" w:rsidP="000934A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-об’єкти житлової та нежитлової нерухомості релігійних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та благодійних 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організацій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статути (положення) яких зареєстровані у встановленому законодавством порядку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 w:rsidRPr="000934A8">
              <w:t xml:space="preserve"> 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та використовуються для забезпечення діяльності, передбаченої такими статутами (положеннями).</w:t>
            </w:r>
            <w:r w:rsidR="000934A8" w:rsidRPr="000934A8">
              <w:t xml:space="preserve"> </w:t>
            </w:r>
            <w:r w:rsidR="000934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рім об’єктів нерухомості, в яких здійснюється виробнича та/або господарська діяльність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68C2" w14:textId="77777777"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14:paraId="6B21ACD2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EFE609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58908E" w14:textId="77777777"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8E" w14:paraId="37DB1373" w14:textId="77777777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CEB6" w14:textId="77777777" w:rsidR="005A3E8E" w:rsidRPr="005A3E8E" w:rsidRDefault="005A3E8E" w:rsidP="005A3E8E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5A3E8E">
              <w:rPr>
                <w:rFonts w:ascii="Times New Roman" w:hAnsi="Times New Roman"/>
                <w:color w:val="1C1C1C"/>
                <w:sz w:val="28"/>
                <w:szCs w:val="28"/>
              </w:rPr>
              <w:t>-об’єкти нежитлової нерухомості, що розташовані на території індустріального парку та перебувають у власності учасників індустріального парку, включеного до Реєстру індустріальних парків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DDC2" w14:textId="77777777" w:rsidR="005A3E8E" w:rsidRDefault="005A3E8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14:paraId="6A85F08D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Пільги з податку, передбачені підпунктами 266.4.1 та 266.4.2 ст. 266 Податкового кодексу України, для фізичних осіб не застосовуються до:</w:t>
      </w:r>
    </w:p>
    <w:p w14:paraId="2F6A3FE5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266.4.1 ст.266;</w:t>
      </w:r>
    </w:p>
    <w:p w14:paraId="1A21F289" w14:textId="77777777"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об’єкта/об’єктів оподаткування, що використовуються їх власниками з метою одержання доходів (здаються в оренду лізинг, позичку, використовуються у підприємницькій діяльності).  </w:t>
      </w:r>
    </w:p>
    <w:p w14:paraId="23622A0B" w14:textId="77777777" w:rsidR="00BE6942" w:rsidRDefault="00BE6942" w:rsidP="00430E1A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07F3AB49" w14:textId="77777777"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міської ради                      </w:t>
      </w:r>
      <w:r w:rsidR="005D1EF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Ярослав  ДЗИНДРА </w:t>
      </w:r>
    </w:p>
    <w:p w14:paraId="29FEC758" w14:textId="77777777"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2E323ACF" w14:textId="77777777" w:rsidR="00BE6942" w:rsidRDefault="00BE6942" w:rsidP="00BE6942">
      <w:pPr>
        <w:pStyle w:val="StyleZakonu"/>
        <w:spacing w:after="0" w:line="240" w:lineRule="auto"/>
        <w:ind w:firstLine="0"/>
        <w:rPr>
          <w:sz w:val="24"/>
          <w:szCs w:val="24"/>
          <w:lang w:val="ru-RU"/>
        </w:rPr>
      </w:pPr>
    </w:p>
    <w:p w14:paraId="5806E7BF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1BF56E58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3196E549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04E6E7A8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2951CC1C" w14:textId="77777777"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14:paraId="42100ADD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7C7D9F11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7A4C46C2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5B437CC8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4716EBAF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555C690C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5536CE58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3296EFC5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14:paraId="63791E53" w14:textId="77777777"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sectPr w:rsidR="00BE6942" w:rsidSect="005D1EF6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331D8"/>
    <w:multiLevelType w:val="hybridMultilevel"/>
    <w:tmpl w:val="CAC447E6"/>
    <w:lvl w:ilvl="0" w:tplc="2A209B1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23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DB"/>
    <w:rsid w:val="0003670C"/>
    <w:rsid w:val="00072BC0"/>
    <w:rsid w:val="000934A8"/>
    <w:rsid w:val="00095403"/>
    <w:rsid w:val="00101E2C"/>
    <w:rsid w:val="00107172"/>
    <w:rsid w:val="001C05E1"/>
    <w:rsid w:val="001C5814"/>
    <w:rsid w:val="00225971"/>
    <w:rsid w:val="00241CAF"/>
    <w:rsid w:val="00276424"/>
    <w:rsid w:val="002B72F7"/>
    <w:rsid w:val="00346EDB"/>
    <w:rsid w:val="003E0650"/>
    <w:rsid w:val="00403FFA"/>
    <w:rsid w:val="004111DF"/>
    <w:rsid w:val="00430E1A"/>
    <w:rsid w:val="00486824"/>
    <w:rsid w:val="005A3E8E"/>
    <w:rsid w:val="005D1EF6"/>
    <w:rsid w:val="005E4DD4"/>
    <w:rsid w:val="00644020"/>
    <w:rsid w:val="007924F9"/>
    <w:rsid w:val="007D7FBB"/>
    <w:rsid w:val="007E0EE6"/>
    <w:rsid w:val="00810201"/>
    <w:rsid w:val="0082342A"/>
    <w:rsid w:val="00832F9F"/>
    <w:rsid w:val="008D76D9"/>
    <w:rsid w:val="008E19C7"/>
    <w:rsid w:val="009029BE"/>
    <w:rsid w:val="00935B0A"/>
    <w:rsid w:val="0094431E"/>
    <w:rsid w:val="00965B49"/>
    <w:rsid w:val="00A01FD1"/>
    <w:rsid w:val="00A07B19"/>
    <w:rsid w:val="00A11B15"/>
    <w:rsid w:val="00A4600E"/>
    <w:rsid w:val="00A61E5E"/>
    <w:rsid w:val="00AC4778"/>
    <w:rsid w:val="00AD33F5"/>
    <w:rsid w:val="00B5746F"/>
    <w:rsid w:val="00B6705F"/>
    <w:rsid w:val="00BA6B38"/>
    <w:rsid w:val="00BE6942"/>
    <w:rsid w:val="00C83D61"/>
    <w:rsid w:val="00CC6669"/>
    <w:rsid w:val="00CF7F65"/>
    <w:rsid w:val="00D14A94"/>
    <w:rsid w:val="00DD32D9"/>
    <w:rsid w:val="00E837B5"/>
    <w:rsid w:val="00F3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D6B6"/>
  <w15:docId w15:val="{974D906A-3817-4DDD-B614-D23407F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346EDB"/>
    <w:pPr>
      <w:keepNext/>
      <w:keepLines/>
      <w:spacing w:before="240" w:after="240" w:line="240" w:lineRule="auto"/>
      <w:jc w:val="center"/>
    </w:pPr>
    <w:rPr>
      <w:rFonts w:ascii="Antiqua" w:eastAsia="Calibri" w:hAnsi="Antiqua" w:cs="Times New Roman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346ED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346EDB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tyleZakonu">
    <w:name w:val="StyleZakonu"/>
    <w:basedOn w:val="a"/>
    <w:rsid w:val="00BE694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431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3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3469</Characters>
  <Application>Microsoft Office Word</Application>
  <DocSecurity>0</DocSecurity>
  <Lines>133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5</cp:revision>
  <cp:lastPrinted>2026-02-26T09:20:00Z</cp:lastPrinted>
  <dcterms:created xsi:type="dcterms:W3CDTF">2026-02-09T10:39:00Z</dcterms:created>
  <dcterms:modified xsi:type="dcterms:W3CDTF">2026-02-26T09:25:00Z</dcterms:modified>
</cp:coreProperties>
</file>